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hd w:fill="1E2D40" w:val="clear"/>
        <w:spacing w:before="0" w:after="120"/>
      </w:pPr>
      <w:r>
        <w:rPr>
          <w:rFonts w:ascii="Arial" w:cs="Arial" w:eastAsia="Arial" w:hAnsi="Arial"/>
        </w:rPr>
        <w:t xml:space="preserve"/>
      </w:r>
    </w:p>
    <w:p>
      <w:pPr>
        <w:shd w:fill="1E2D40" w:val="clear"/>
        <w:spacing w:before="0" w:after="0"/>
      </w:pPr>
      <w:r>
        <w:rPr>
          <w:rFonts w:ascii="Arial" w:cs="Arial" w:eastAsia="Arial" w:hAnsi="Arial"/>
          <w:b/>
          <w:bCs/>
          <w:caps/>
          <w:color w:val="FFFFFF"/>
          <w:sz w:val="48"/>
          <w:szCs w:val="48"/>
        </w:rPr>
        <w:t xml:space="preserve">THE BRIDGE FRAMEWORK</w:t>
      </w:r>
    </w:p>
    <w:p>
      <w:pPr>
        <w:shd w:fill="1E2D40" w:val="clear"/>
        <w:spacing w:before="0" w:after="0"/>
      </w:pPr>
      <w:r>
        <w:rPr>
          <w:rFonts w:ascii="Arial" w:cs="Arial" w:eastAsia="Arial" w:hAnsi="Arial"/>
          <w:i/>
          <w:iCs/>
          <w:color w:val="95D5B2"/>
          <w:sz w:val="28"/>
          <w:szCs w:val="28"/>
        </w:rPr>
        <w:t xml:space="preserve">What people actually need during the interim — and how to build it</w:t>
      </w:r>
    </w:p>
    <w:p>
      <w:pPr>
        <w:shd w:fill="1E2D40" w:val="clear"/>
        <w:spacing w:before="120" w:after="280"/>
      </w:pPr>
      <w:r>
        <w:rPr>
          <w:rFonts w:ascii="Arial" w:cs="Arial" w:eastAsia="Arial" w:hAnsi="Arial"/>
          <w:color w:val="90B4D4"/>
          <w:sz w:val="20"/>
          <w:szCs w:val="20"/>
        </w:rPr>
        <w:t xml:space="preserve">Sources May Vary  ·  March 2026</w:t>
      </w:r>
    </w:p>
    <w:p>
      <w:pPr>
        <w:pBdr>
          <w:bottom w:val="single" w:color="2D6A4F" w:sz="2" w:space="1"/>
        </w:pBdr>
        <w:spacing w:before="160" w:after="160"/>
      </w:pPr>
      <w:r>
        <w:rPr>
          <w:rFonts w:ascii="Arial" w:cs="Arial" w:eastAsia="Arial" w:hAnsi="Arial"/>
        </w:rPr>
        <w:t xml:space="preserve"/>
      </w:r>
    </w:p>
    <w:p>
      <w:pPr>
        <w:pStyle w:val="Heading1"/>
        <w:pBdr>
          <w:bottom w:val="single" w:color="2D6A4F" w:sz="4" w:space="6"/>
        </w:pBdr>
        <w:spacing w:before="320" w:after="120"/>
      </w:pPr>
      <w:r>
        <w:rPr>
          <w:rFonts w:ascii="Arial" w:cs="Arial" w:eastAsia="Arial" w:hAnsi="Arial"/>
          <w:b/>
          <w:bCs/>
          <w:color w:val="1E2D40"/>
          <w:sz w:val="36"/>
          <w:szCs w:val="36"/>
        </w:rPr>
        <w:t xml:space="preserve">The Problem: Why Programs Don’t Add Up to Security</w:t>
      </w:r>
    </w:p>
    <w:p>
      <w:pPr>
        <w:spacing w:before="0" w:after="140"/>
      </w:pPr>
      <w:r>
        <w:rPr>
          <w:rFonts w:ascii="Arial" w:cs="Arial" w:eastAsia="Arial" w:hAnsi="Arial"/>
          <w:color w:val="1A1A2E"/>
          <w:sz w:val="22"/>
          <w:szCs w:val="22"/>
        </w:rPr>
        <w:t xml:space="preserve">Nearly half of all Americans — 49% — are economically insecure, including 43% of people in families with a full-time worker. This is not a motivation problem. It is a coordination problem.</w:t>
      </w:r>
    </w:p>
    <w:p>
      <w:pPr>
        <w:spacing w:before="0" w:after="0"/>
      </w:pPr>
      <w:r>
        <w:rPr>
          <w:rFonts w:ascii="Arial" w:cs="Arial" w:eastAsia="Arial" w:hAnsi="Arial"/>
        </w:rPr>
        <w:t xml:space="preserve"/>
      </w:r>
    </w:p>
    <w:p>
      <w:pPr>
        <w:spacing w:before="0" w:after="140"/>
      </w:pPr>
      <w:r>
        <w:rPr>
          <w:rFonts w:ascii="Arial" w:cs="Arial" w:eastAsia="Arial" w:hAnsi="Arial"/>
          <w:color w:val="1A1A2E"/>
          <w:sz w:val="22"/>
          <w:szCs w:val="22"/>
        </w:rPr>
        <w:t xml:space="preserve">The dominant approach to economic security is the one-off program: a workforce training initiative here, a digital literacy cohort there, a housing assistance application somewhere else. Each program is designed in isolation, funded separately, staffed independently, and measured on its own terms. The family who needs all four has to find each one, navigate each intake process, maintain each eligibility requirement — and do all of it while managing the instability that brought them to the programs in the first place.</w:t>
      </w:r>
    </w:p>
    <w:p>
      <w:pPr>
        <w:spacing w:before="0" w:after="0"/>
      </w:pPr>
      <w:r>
        <w:rPr>
          <w:rFonts w:ascii="Arial" w:cs="Arial" w:eastAsia="Arial" w:hAnsi="Arial"/>
        </w:rPr>
        <w:t xml:space="preserve"/>
      </w:r>
    </w:p>
    <w:p>
      <w:pPr>
        <w:spacing w:before="0" w:after="140"/>
      </w:pPr>
      <w:r>
        <w:rPr>
          <w:rFonts w:ascii="Arial" w:cs="Arial" w:eastAsia="Arial" w:hAnsi="Arial"/>
          <w:color w:val="1A1A2E"/>
          <w:sz w:val="22"/>
          <w:szCs w:val="22"/>
        </w:rPr>
        <w:t xml:space="preserve">The result: programs technically succeed while people stay stuck. The training program graduates a participant who then loses childcare support because her income crossed a threshold. The digital literacy cohort builds skills that no one helps translate into employment. The housing assistance gets someone stable for six months, then the support ends before she’s built enough financial ground to hold herself.</w:t>
      </w:r>
    </w:p>
    <w:p>
      <w:pPr>
        <w:spacing w:before="0" w:after="0"/>
      </w:pPr>
      <w:r>
        <w:rPr>
          <w:rFonts w:ascii="Arial" w:cs="Arial" w:eastAsia="Arial" w:hAnsi="Arial"/>
        </w:rPr>
        <w:t xml:space="preserve"/>
      </w:r>
    </w:p>
    <w:tbl>
      <w:tblPr>
        <w:tblW w:type="dxa" w:w="9360"/>
        <w:tblBorders>
          <w:top w:val="none" w:color="FFFFFF" w:sz="0"/>
          <w:left w:val="none" w:color="FFFFFF" w:sz="0"/>
          <w:bottom w:val="none" w:color="FFFFFF" w:sz="0"/>
          <w:right w:val="none" w:color="FFFFFF" w:sz="0"/>
          <w:insideH w:val="single" w:color="auto" w:sz="4"/>
          <w:insideV w:val="single" w:color="auto" w:sz="4"/>
        </w:tblBorders>
      </w:tblPr>
      <w:tblGrid>
        <w:gridCol w:w="280"/>
        <w:gridCol w:w="9080"/>
      </w:tblGrid>
      <w:tr>
        <w:tc>
          <w:tcPr>
            <w:tcW w:type="dxa" w:w="280"/>
            <w:tcBorders>
              <w:top w:val="none" w:color="FFFFFF" w:sz="0"/>
              <w:left w:val="none" w:color="FFFFFF" w:sz="0"/>
              <w:bottom w:val="none" w:color="FFFFFF" w:sz="0"/>
              <w:right w:val="none" w:color="FFFFFF" w:sz="0"/>
            </w:tcBorders>
            <w:shd w:fill="2D6A4F" w:val="clear"/>
            <w:tcMar>
              <w:top w:type="dxa" w:w="120"/>
              <w:left w:type="dxa" w:w="0"/>
              <w:bottom w:type="dxa" w:w="120"/>
              <w:right w:type="dxa" w:w="0"/>
            </w:tcMar>
          </w:tcPr>
          <w:p>
            <w:r>
              <w:rPr>
                <w:rFonts w:ascii="Arial" w:cs="Arial" w:eastAsia="Arial" w:hAnsi="Arial"/>
                <w:sz w:val="20"/>
                <w:szCs w:val="20"/>
              </w:rPr>
              <w:t xml:space="preserve"/>
            </w:r>
          </w:p>
        </w:tc>
        <w:tc>
          <w:tcPr>
            <w:tcW w:type="dxa" w:w="9080"/>
            <w:tcBorders>
              <w:top w:val="none" w:color="FFFFFF" w:sz="0"/>
              <w:left w:val="none" w:color="FFFFFF" w:sz="0"/>
              <w:bottom w:val="none" w:color="FFFFFF" w:sz="0"/>
              <w:right w:val="none" w:color="FFFFFF" w:sz="0"/>
            </w:tcBorders>
            <w:shd w:fill="EAF5EE" w:val="clear"/>
            <w:tcMar>
              <w:top w:type="dxa" w:w="160"/>
              <w:left w:type="dxa" w:w="200"/>
              <w:bottom w:type="dxa" w:w="160"/>
              <w:right w:type="dxa" w:w="200"/>
            </w:tcMar>
          </w:tcPr>
          <w:p>
            <w:pPr>
              <w:spacing w:before="0" w:after="80"/>
            </w:pPr>
            <w:r>
              <w:rPr>
                <w:rFonts w:ascii="Arial" w:cs="Arial" w:eastAsia="Arial" w:hAnsi="Arial"/>
                <w:b/>
                <w:bCs/>
                <w:color w:val="2D6A4F"/>
                <w:sz w:val="20"/>
                <w:szCs w:val="20"/>
              </w:rPr>
              <w:t xml:space="preserve">The Key Insight</w:t>
            </w:r>
          </w:p>
          <w:p>
            <w:pPr>
              <w:spacing w:before="0" w:after="0"/>
            </w:pPr>
            <w:r>
              <w:rPr>
                <w:rFonts w:ascii="Arial" w:cs="Arial" w:eastAsia="Arial" w:hAnsi="Arial"/>
                <w:color w:val="1A1A2E"/>
                <w:sz w:val="21"/>
                <w:szCs w:val="21"/>
              </w:rPr>
              <w:t xml:space="preserve">The gap is not the absence of programs. It is the absence of the architecture that connects them — and the support that holds people stable enough to actually use them.</w:t>
            </w:r>
          </w:p>
        </w:tc>
      </w:tr>
    </w:tbl>
    <w:p>
      <w:pPr>
        <w:spacing w:before="0" w:after="0"/>
      </w:pPr>
      <w:r>
        <w:rPr>
          <w:rFonts w:ascii="Arial" w:cs="Arial" w:eastAsia="Arial" w:hAnsi="Arial"/>
        </w:rPr>
        <w:t xml:space="preserve"/>
      </w:r>
    </w:p>
    <w:p>
      <w:pPr>
        <w:spacing w:before="0" w:after="140"/>
      </w:pPr>
      <w:r>
        <w:rPr>
          <w:rFonts w:ascii="Arial" w:cs="Arial" w:eastAsia="Arial" w:hAnsi="Arial"/>
          <w:color w:val="1A1A2E"/>
          <w:sz w:val="22"/>
          <w:szCs w:val="22"/>
        </w:rPr>
        <w:t xml:space="preserve">This framework names what is missing and maps what it would take to build the real bridge — not a better program, but the system that makes programs work.</w:t>
      </w:r>
    </w:p>
    <w:p>
      <w:pPr>
        <w:spacing w:before="0" w:after="0"/>
      </w:pPr>
      <w:r>
        <w:rPr>
          <w:rFonts w:ascii="Arial" w:cs="Arial" w:eastAsia="Arial" w:hAnsi="Arial"/>
        </w:rPr>
        <w:t xml:space="preserve"/>
      </w:r>
    </w:p>
    <w:p>
      <w:pPr>
        <w:pStyle w:val="Heading1"/>
        <w:pBdr>
          <w:bottom w:val="single" w:color="2D6A4F" w:sz="4" w:space="6"/>
        </w:pBdr>
        <w:spacing w:before="320" w:after="120"/>
      </w:pPr>
      <w:r>
        <w:rPr>
          <w:rFonts w:ascii="Arial" w:cs="Arial" w:eastAsia="Arial" w:hAnsi="Arial"/>
          <w:b/>
          <w:bCs/>
          <w:color w:val="1E2D40"/>
          <w:sz w:val="36"/>
          <w:szCs w:val="36"/>
        </w:rPr>
        <w:t xml:space="preserve">The Framework: Three Layers of the Bridge</w:t>
      </w:r>
    </w:p>
    <w:p>
      <w:pPr>
        <w:spacing w:before="0" w:after="140"/>
      </w:pPr>
      <w:r>
        <w:rPr>
          <w:rFonts w:ascii="Arial" w:cs="Arial" w:eastAsia="Arial" w:hAnsi="Arial"/>
          <w:color w:val="1A1A2E"/>
          <w:sz w:val="22"/>
          <w:szCs w:val="22"/>
        </w:rPr>
        <w:t xml:space="preserve">A bridge that actually holds someone through transition requires three things working simultaneously. When any one is missing, the others fail.</w:t>
      </w:r>
    </w:p>
    <w:p>
      <w:pPr>
        <w:spacing w:before="0" w:after="0"/>
      </w:pPr>
      <w:r>
        <w:rPr>
          <w:rFonts w:ascii="Arial" w:cs="Arial" w:eastAsia="Arial" w:hAnsi="Arial"/>
        </w:rPr>
        <w:t xml:space="preserve"/>
      </w:r>
    </w:p>
    <w:tbl>
      <w:tblPr>
        <w:tblW w:type="dxa" w:w="9360"/>
        <w:tblBorders>
          <w:top w:val="none" w:color="FFFFFF" w:sz="0"/>
          <w:left w:val="none" w:color="FFFFFF" w:sz="0"/>
          <w:bottom w:val="none" w:color="FFFFFF" w:sz="0"/>
          <w:right w:val="none" w:color="FFFFFF" w:sz="0"/>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2D6A4F" w:val="clear"/>
            <w:tcMar>
              <w:top w:type="dxa" w:w="160"/>
              <w:left w:type="dxa" w:w="240"/>
              <w:bottom w:type="dxa" w:w="160"/>
              <w:right w:type="dxa" w:w="240"/>
            </w:tcMar>
          </w:tcPr>
          <w:p>
            <w:pPr>
              <w:spacing w:before="0" w:after="60"/>
            </w:pPr>
            <w:r>
              <w:rPr>
                <w:rFonts w:ascii="Arial" w:cs="Arial" w:eastAsia="Arial" w:hAnsi="Arial"/>
                <w:b/>
                <w:bCs/>
                <w:caps/>
                <w:color w:val="FFFFFF"/>
                <w:sz w:val="19"/>
                <w:szCs w:val="19"/>
              </w:rPr>
              <w:t xml:space="preserve">LAYER 1  </w:t>
            </w:r>
            <w:r>
              <w:rPr>
                <w:rFonts w:ascii="Arial" w:cs="Arial" w:eastAsia="Arial" w:hAnsi="Arial"/>
                <w:b/>
                <w:bCs/>
                <w:color w:val="FFFFFF"/>
                <w:sz w:val="24"/>
                <w:szCs w:val="24"/>
              </w:rPr>
              <w:t xml:space="preserve">  The Outer Bridge</w:t>
            </w:r>
          </w:p>
          <w:p>
            <w:pPr>
              <w:spacing w:before="0" w:after="0"/>
            </w:pPr>
            <w:r>
              <w:rPr>
                <w:rFonts w:ascii="Arial" w:cs="Arial" w:eastAsia="Arial" w:hAnsi="Arial"/>
                <w:i/>
                <w:iCs/>
                <w:color w:val="C8E6D0"/>
                <w:sz w:val="20"/>
                <w:szCs w:val="20"/>
              </w:rPr>
              <w:t xml:space="preserve">Material and structural support</w:t>
            </w:r>
          </w:p>
        </w:tc>
      </w:tr>
      <w:tr>
        <w:tc>
          <w:tcPr>
            <w:tcW w:type="dxa" w:w="9360"/>
            <w:tcBorders>
              <w:top w:val="none" w:color="FFFFFF" w:sz="0"/>
              <w:left w:val="none" w:color="FFFFFF" w:sz="0"/>
              <w:bottom w:val="none" w:color="FFFFFF" w:sz="0"/>
              <w:right w:val="none" w:color="FFFFFF" w:sz="0"/>
            </w:tcBorders>
            <w:shd w:fill="EAF5EE" w:val="clear"/>
            <w:tcMar>
              <w:top w:type="dxa" w:w="160"/>
              <w:left w:type="dxa" w:w="240"/>
              <w:bottom w:type="dxa" w:w="160"/>
              <w:right w:type="dxa" w:w="240"/>
            </w:tcMar>
          </w:tcPr>
          <w:p>
            <w:pPr>
              <w:pStyle w:val="ListParagraph"/>
              <w:numPr>
                <w:ilvl w:val="0"/>
                <w:numId w:val="2"/>
              </w:numPr>
              <w:spacing w:before="0" w:after="80"/>
            </w:pPr>
            <w:r>
              <w:rPr>
                <w:rFonts w:ascii="Arial" w:cs="Arial" w:eastAsia="Arial" w:hAnsi="Arial"/>
                <w:color w:val="1A1A2E"/>
                <w:sz w:val="21"/>
                <w:szCs w:val="21"/>
              </w:rPr>
              <w:t xml:space="preserve">Stipends that cover real living costs — not token amounts, but enough to not have to choose between the program and paying rent</w:t>
            </w:r>
          </w:p>
          <w:p>
            <w:pPr>
              <w:pStyle w:val="ListParagraph"/>
              <w:numPr>
                <w:ilvl w:val="0"/>
                <w:numId w:val="2"/>
              </w:numPr>
              <w:spacing w:before="0" w:after="80"/>
            </w:pPr>
            <w:r>
              <w:rPr>
                <w:rFonts w:ascii="Arial" w:cs="Arial" w:eastAsia="Arial" w:hAnsi="Arial"/>
                <w:color w:val="1A1A2E"/>
                <w:sz w:val="21"/>
                <w:szCs w:val="21"/>
              </w:rPr>
              <w:t xml:space="preserve">Housing stability during the transition period</w:t>
            </w:r>
          </w:p>
          <w:p>
            <w:pPr>
              <w:pStyle w:val="ListParagraph"/>
              <w:numPr>
                <w:ilvl w:val="0"/>
                <w:numId w:val="2"/>
              </w:numPr>
              <w:spacing w:before="0" w:after="80"/>
            </w:pPr>
            <w:r>
              <w:rPr>
                <w:rFonts w:ascii="Arial" w:cs="Arial" w:eastAsia="Arial" w:hAnsi="Arial"/>
                <w:color w:val="1A1A2E"/>
                <w:sz w:val="21"/>
                <w:szCs w:val="21"/>
              </w:rPr>
              <w:t xml:space="preserve">Flexible scheduling that accounts for caregiving, transportation, and real life</w:t>
            </w:r>
          </w:p>
          <w:p>
            <w:pPr>
              <w:pStyle w:val="ListParagraph"/>
              <w:numPr>
                <w:ilvl w:val="0"/>
                <w:numId w:val="2"/>
              </w:numPr>
              <w:spacing w:before="0" w:after="80"/>
            </w:pPr>
            <w:r>
              <w:rPr>
                <w:rFonts w:ascii="Arial" w:cs="Arial" w:eastAsia="Arial" w:hAnsi="Arial"/>
                <w:color w:val="1A1A2E"/>
                <w:sz w:val="21"/>
                <w:szCs w:val="21"/>
              </w:rPr>
              <w:t xml:space="preserve">Genuine mentorship — not networking, but a person who has navigated similar terrain and will not shame you for where you are</w:t>
            </w:r>
          </w:p>
          <w:p>
            <w:pPr>
              <w:pStyle w:val="ListParagraph"/>
              <w:numPr>
                <w:ilvl w:val="0"/>
                <w:numId w:val="2"/>
              </w:numPr>
              <w:spacing w:before="0" w:after="80"/>
            </w:pPr>
            <w:r>
              <w:rPr>
                <w:rFonts w:ascii="Arial" w:cs="Arial" w:eastAsia="Arial" w:hAnsi="Arial"/>
                <w:color w:val="1A1A2E"/>
                <w:sz w:val="21"/>
                <w:szCs w:val="21"/>
              </w:rPr>
              <w:t xml:space="preserve">Client and income pipeline support for those building independent work</w:t>
            </w:r>
          </w:p>
        </w:tc>
      </w:tr>
    </w:tbl>
    <w:p>
      <w:pPr>
        <w:spacing w:before="0" w:after="0"/>
      </w:pPr>
      <w:r>
        <w:rPr>
          <w:rFonts w:ascii="Arial" w:cs="Arial" w:eastAsia="Arial" w:hAnsi="Arial"/>
        </w:rPr>
        <w:t xml:space="preserve"/>
      </w:r>
    </w:p>
    <w:tbl>
      <w:tblPr>
        <w:tblW w:type="dxa" w:w="9360"/>
        <w:tblBorders>
          <w:top w:val="none" w:color="FFFFFF" w:sz="0"/>
          <w:left w:val="none" w:color="FFFFFF" w:sz="0"/>
          <w:bottom w:val="none" w:color="FFFFFF" w:sz="0"/>
          <w:right w:val="none" w:color="FFFFFF" w:sz="0"/>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8B5A2B" w:val="clear"/>
            <w:tcMar>
              <w:top w:type="dxa" w:w="160"/>
              <w:left w:type="dxa" w:w="240"/>
              <w:bottom w:type="dxa" w:w="160"/>
              <w:right w:type="dxa" w:w="240"/>
            </w:tcMar>
          </w:tcPr>
          <w:p>
            <w:pPr>
              <w:spacing w:before="0" w:after="60"/>
            </w:pPr>
            <w:r>
              <w:rPr>
                <w:rFonts w:ascii="Arial" w:cs="Arial" w:eastAsia="Arial" w:hAnsi="Arial"/>
                <w:b/>
                <w:bCs/>
                <w:caps/>
                <w:color w:val="FFFFFF"/>
                <w:sz w:val="19"/>
                <w:szCs w:val="19"/>
              </w:rPr>
              <w:t xml:space="preserve">LAYER 2  </w:t>
            </w:r>
            <w:r>
              <w:rPr>
                <w:rFonts w:ascii="Arial" w:cs="Arial" w:eastAsia="Arial" w:hAnsi="Arial"/>
                <w:b/>
                <w:bCs/>
                <w:color w:val="FFFFFF"/>
                <w:sz w:val="24"/>
                <w:szCs w:val="24"/>
              </w:rPr>
              <w:t xml:space="preserve">  The Inner Bridge</w:t>
            </w:r>
          </w:p>
          <w:p>
            <w:pPr>
              <w:spacing w:before="0" w:after="0"/>
            </w:pPr>
            <w:r>
              <w:rPr>
                <w:rFonts w:ascii="Arial" w:cs="Arial" w:eastAsia="Arial" w:hAnsi="Arial"/>
                <w:i/>
                <w:iCs/>
                <w:color w:val="C8E6D0"/>
                <w:sz w:val="20"/>
                <w:szCs w:val="20"/>
              </w:rPr>
              <w:t xml:space="preserve">Mental health, nervous system support, and shame-free financial crisis navigation</w:t>
            </w:r>
          </w:p>
        </w:tc>
      </w:tr>
      <w:tr>
        <w:tc>
          <w:tcPr>
            <w:tcW w:type="dxa" w:w="9360"/>
            <w:tcBorders>
              <w:top w:val="none" w:color="FFFFFF" w:sz="0"/>
              <w:left w:val="none" w:color="FFFFFF" w:sz="0"/>
              <w:bottom w:val="none" w:color="FFFFFF" w:sz="0"/>
              <w:right w:val="none" w:color="FFFFFF" w:sz="0"/>
            </w:tcBorders>
            <w:shd w:fill="FDF3E7" w:val="clear"/>
            <w:tcMar>
              <w:top w:type="dxa" w:w="160"/>
              <w:left w:type="dxa" w:w="240"/>
              <w:bottom w:type="dxa" w:w="160"/>
              <w:right w:type="dxa" w:w="240"/>
            </w:tcMar>
          </w:tcPr>
          <w:p>
            <w:pPr>
              <w:pStyle w:val="ListParagraph"/>
              <w:numPr>
                <w:ilvl w:val="0"/>
                <w:numId w:val="2"/>
              </w:numPr>
              <w:spacing w:before="0" w:after="80"/>
            </w:pPr>
            <w:r>
              <w:rPr>
                <w:rFonts w:ascii="Arial" w:cs="Arial" w:eastAsia="Arial" w:hAnsi="Arial"/>
                <w:color w:val="1A1A2E"/>
                <w:sz w:val="21"/>
                <w:szCs w:val="21"/>
              </w:rPr>
              <w:t xml:space="preserve">Real therapy — not an EAP referral or a crisis hotline, but ongoing, consistent, trauma-informed mental health support</w:t>
            </w:r>
          </w:p>
          <w:p>
            <w:pPr>
              <w:pStyle w:val="ListParagraph"/>
              <w:numPr>
                <w:ilvl w:val="0"/>
                <w:numId w:val="2"/>
              </w:numPr>
              <w:spacing w:before="0" w:after="80"/>
            </w:pPr>
            <w:r>
              <w:rPr>
                <w:rFonts w:ascii="Arial" w:cs="Arial" w:eastAsia="Arial" w:hAnsi="Arial"/>
                <w:color w:val="1A1A2E"/>
                <w:sz w:val="21"/>
                <w:szCs w:val="21"/>
              </w:rPr>
              <w:t xml:space="preserve">Nervous system regulation tools — practical support for what chronic stress and instability does to the body’s threat response</w:t>
            </w:r>
          </w:p>
          <w:p>
            <w:pPr>
              <w:pStyle w:val="ListParagraph"/>
              <w:numPr>
                <w:ilvl w:val="0"/>
                <w:numId w:val="2"/>
              </w:numPr>
              <w:spacing w:before="0" w:after="80"/>
            </w:pPr>
            <w:r>
              <w:rPr>
                <w:rFonts w:ascii="Arial" w:cs="Arial" w:eastAsia="Arial" w:hAnsi="Arial"/>
                <w:color w:val="1A1A2E"/>
                <w:sz w:val="21"/>
                <w:szCs w:val="21"/>
              </w:rPr>
              <w:t xml:space="preserve">Financial crisis literacy (not financial literacy) — what to actually do when bills exceed income, invoices are delayed, you owe the IRS, or you are already past the point where standard budgeting advice applies</w:t>
            </w:r>
          </w:p>
          <w:p>
            <w:pPr>
              <w:pStyle w:val="ListParagraph"/>
              <w:numPr>
                <w:ilvl w:val="0"/>
                <w:numId w:val="2"/>
              </w:numPr>
              <w:spacing w:before="0" w:after="80"/>
            </w:pPr>
            <w:r>
              <w:rPr>
                <w:rFonts w:ascii="Arial" w:cs="Arial" w:eastAsia="Arial" w:hAnsi="Arial"/>
                <w:color w:val="1A1A2E"/>
                <w:sz w:val="21"/>
                <w:szCs w:val="21"/>
              </w:rPr>
              <w:t xml:space="preserve">A shame-free container — explicitly designed so that the vices, the self-sabotage, and the hard decisions that come from survival mode can be named without judgment</w:t>
            </w:r>
          </w:p>
          <w:p>
            <w:pPr>
              <w:pStyle w:val="ListParagraph"/>
              <w:numPr>
                <w:ilvl w:val="0"/>
                <w:numId w:val="2"/>
              </w:numPr>
              <w:spacing w:before="0" w:after="80"/>
            </w:pPr>
            <w:r>
              <w:rPr>
                <w:rFonts w:ascii="Arial" w:cs="Arial" w:eastAsia="Arial" w:hAnsi="Arial"/>
                <w:color w:val="1A1A2E"/>
                <w:sz w:val="21"/>
                <w:szCs w:val="21"/>
              </w:rPr>
              <w:t xml:space="preserve">Recognition that self-medication (alcohol, food, withdrawal) is the body’s response to an overwhelmed nervous system, not a character failure</w:t>
            </w:r>
          </w:p>
        </w:tc>
      </w:tr>
    </w:tbl>
    <w:p>
      <w:pPr>
        <w:spacing w:before="0" w:after="0"/>
      </w:pPr>
      <w:r>
        <w:rPr>
          <w:rFonts w:ascii="Arial" w:cs="Arial" w:eastAsia="Arial" w:hAnsi="Arial"/>
        </w:rPr>
        <w:t xml:space="preserve"/>
      </w:r>
    </w:p>
    <w:tbl>
      <w:tblPr>
        <w:tblW w:type="dxa" w:w="9360"/>
        <w:tblBorders>
          <w:top w:val="none" w:color="FFFFFF" w:sz="0"/>
          <w:left w:val="none" w:color="FFFFFF" w:sz="0"/>
          <w:bottom w:val="none" w:color="FFFFFF" w:sz="0"/>
          <w:right w:val="none" w:color="FFFFFF" w:sz="0"/>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1E3A5F" w:val="clear"/>
            <w:tcMar>
              <w:top w:type="dxa" w:w="160"/>
              <w:left w:type="dxa" w:w="240"/>
              <w:bottom w:type="dxa" w:w="160"/>
              <w:right w:type="dxa" w:w="240"/>
            </w:tcMar>
          </w:tcPr>
          <w:p>
            <w:pPr>
              <w:spacing w:before="0" w:after="60"/>
            </w:pPr>
            <w:r>
              <w:rPr>
                <w:rFonts w:ascii="Arial" w:cs="Arial" w:eastAsia="Arial" w:hAnsi="Arial"/>
                <w:b/>
                <w:bCs/>
                <w:caps/>
                <w:color w:val="FFFFFF"/>
                <w:sz w:val="19"/>
                <w:szCs w:val="19"/>
              </w:rPr>
              <w:t xml:space="preserve">LAYER 3  </w:t>
            </w:r>
            <w:r>
              <w:rPr>
                <w:rFonts w:ascii="Arial" w:cs="Arial" w:eastAsia="Arial" w:hAnsi="Arial"/>
                <w:b/>
                <w:bCs/>
                <w:color w:val="FFFFFF"/>
                <w:sz w:val="24"/>
                <w:szCs w:val="24"/>
              </w:rPr>
              <w:t xml:space="preserve">  The Coordination Architecture</w:t>
            </w:r>
          </w:p>
          <w:p>
            <w:pPr>
              <w:spacing w:before="0" w:after="0"/>
            </w:pPr>
            <w:r>
              <w:rPr>
                <w:rFonts w:ascii="Arial" w:cs="Arial" w:eastAsia="Arial" w:hAnsi="Arial"/>
                <w:i/>
                <w:iCs/>
                <w:color w:val="C8E6D0"/>
                <w:sz w:val="20"/>
                <w:szCs w:val="20"/>
              </w:rPr>
              <w:t xml:space="preserve">The layer that holds the other two together</w:t>
            </w:r>
          </w:p>
        </w:tc>
      </w:tr>
      <w:tr>
        <w:tc>
          <w:tcPr>
            <w:tcW w:type="dxa" w:w="9360"/>
            <w:tcBorders>
              <w:top w:val="none" w:color="FFFFFF" w:sz="0"/>
              <w:left w:val="none" w:color="FFFFFF" w:sz="0"/>
              <w:bottom w:val="none" w:color="FFFFFF" w:sz="0"/>
              <w:right w:val="none" w:color="FFFFFF" w:sz="0"/>
            </w:tcBorders>
            <w:shd w:fill="EBF0F9" w:val="clear"/>
            <w:tcMar>
              <w:top w:type="dxa" w:w="160"/>
              <w:left w:type="dxa" w:w="240"/>
              <w:bottom w:type="dxa" w:w="160"/>
              <w:right w:type="dxa" w:w="240"/>
            </w:tcMar>
          </w:tcPr>
          <w:p>
            <w:pPr>
              <w:pStyle w:val="ListParagraph"/>
              <w:numPr>
                <w:ilvl w:val="0"/>
                <w:numId w:val="2"/>
              </w:numPr>
              <w:spacing w:before="0" w:after="80"/>
            </w:pPr>
            <w:r>
              <w:rPr>
                <w:rFonts w:ascii="Arial" w:cs="Arial" w:eastAsia="Arial" w:hAnsi="Arial"/>
                <w:color w:val="1A1A2E"/>
                <w:sz w:val="21"/>
                <w:szCs w:val="21"/>
              </w:rPr>
              <w:t xml:space="preserve">A navigator who holds the whole picture — not a case manager in the traditional sense, but someone who knows every program, every benefit, every eligibility threshold, and can sequence them in the right order for this specific person</w:t>
            </w:r>
          </w:p>
          <w:p>
            <w:pPr>
              <w:pStyle w:val="ListParagraph"/>
              <w:numPr>
                <w:ilvl w:val="0"/>
                <w:numId w:val="2"/>
              </w:numPr>
              <w:spacing w:before="0" w:after="80"/>
            </w:pPr>
            <w:r>
              <w:rPr>
                <w:rFonts w:ascii="Arial" w:cs="Arial" w:eastAsia="Arial" w:hAnsi="Arial"/>
                <w:color w:val="1A1A2E"/>
                <w:sz w:val="21"/>
                <w:szCs w:val="21"/>
              </w:rPr>
              <w:t xml:space="preserve">Cross-program integration so that getting a job does not trigger loss of childcare before income stabilizes — benefits designed to phase out gradually, not cliff-drop</w:t>
            </w:r>
          </w:p>
          <w:p>
            <w:pPr>
              <w:pStyle w:val="ListParagraph"/>
              <w:numPr>
                <w:ilvl w:val="0"/>
                <w:numId w:val="2"/>
              </w:numPr>
              <w:spacing w:before="0" w:after="80"/>
            </w:pPr>
            <w:r>
              <w:rPr>
                <w:rFonts w:ascii="Arial" w:cs="Arial" w:eastAsia="Arial" w:hAnsi="Arial"/>
                <w:color w:val="1A1A2E"/>
                <w:sz w:val="21"/>
                <w:szCs w:val="21"/>
              </w:rPr>
              <w:t xml:space="preserve">A single point of trust — the person who knows your full situation and whose job is to make the pieces work together, not to manage you through one program</w:t>
            </w:r>
          </w:p>
          <w:p>
            <w:pPr>
              <w:pStyle w:val="ListParagraph"/>
              <w:numPr>
                <w:ilvl w:val="0"/>
                <w:numId w:val="2"/>
              </w:numPr>
              <w:spacing w:before="0" w:after="80"/>
            </w:pPr>
            <w:r>
              <w:rPr>
                <w:rFonts w:ascii="Arial" w:cs="Arial" w:eastAsia="Arial" w:hAnsi="Arial"/>
                <w:color w:val="1A1A2E"/>
                <w:sz w:val="21"/>
                <w:szCs w:val="21"/>
              </w:rPr>
              <w:t xml:space="preserve">Data coordination between service providers (with participant consent) so people are not re-enrolling in every system from scratch</w:t>
            </w:r>
          </w:p>
          <w:p>
            <w:pPr>
              <w:pStyle w:val="ListParagraph"/>
              <w:numPr>
                <w:ilvl w:val="0"/>
                <w:numId w:val="2"/>
              </w:numPr>
              <w:spacing w:before="0" w:after="80"/>
            </w:pPr>
            <w:r>
              <w:rPr>
                <w:rFonts w:ascii="Arial" w:cs="Arial" w:eastAsia="Arial" w:hAnsi="Arial"/>
                <w:color w:val="1A1A2E"/>
                <w:sz w:val="21"/>
                <w:szCs w:val="21"/>
              </w:rPr>
              <w:t xml:space="preserve">The policy evaluation question applied to every intervention: does this move families closer to or away from economic security?</w:t>
            </w:r>
          </w:p>
        </w:tc>
      </w:tr>
    </w:tbl>
    <w:p>
      <w:pPr>
        <w:spacing w:before="0" w:after="0"/>
      </w:pPr>
      <w:r>
        <w:rPr>
          <w:rFonts w:ascii="Arial" w:cs="Arial" w:eastAsia="Arial" w:hAnsi="Arial"/>
        </w:rPr>
        <w:t xml:space="preserve"/>
      </w:r>
    </w:p>
    <w:tbl>
      <w:tblPr>
        <w:tblW w:type="dxa" w:w="9360"/>
        <w:tblBorders>
          <w:top w:val="none" w:color="FFFFFF" w:sz="0"/>
          <w:left w:val="none" w:color="FFFFFF" w:sz="0"/>
          <w:bottom w:val="none" w:color="FFFFFF" w:sz="0"/>
          <w:right w:val="none" w:color="FFFFFF" w:sz="0"/>
          <w:insideH w:val="single" w:color="auto" w:sz="4"/>
          <w:insideV w:val="single" w:color="auto" w:sz="4"/>
        </w:tblBorders>
      </w:tblPr>
      <w:tblGrid>
        <w:gridCol w:w="280"/>
        <w:gridCol w:w="9080"/>
      </w:tblGrid>
      <w:tr>
        <w:tc>
          <w:tcPr>
            <w:tcW w:type="dxa" w:w="280"/>
            <w:tcBorders>
              <w:top w:val="none" w:color="FFFFFF" w:sz="0"/>
              <w:left w:val="none" w:color="FFFFFF" w:sz="0"/>
              <w:bottom w:val="none" w:color="FFFFFF" w:sz="0"/>
              <w:right w:val="none" w:color="FFFFFF" w:sz="0"/>
            </w:tcBorders>
            <w:shd w:fill="1E2D40" w:val="clear"/>
            <w:tcMar>
              <w:top w:type="dxa" w:w="120"/>
              <w:left w:type="dxa" w:w="0"/>
              <w:bottom w:type="dxa" w:w="120"/>
              <w:right w:type="dxa" w:w="0"/>
            </w:tcMar>
          </w:tcPr>
          <w:p>
            <w:r>
              <w:rPr>
                <w:rFonts w:ascii="Arial" w:cs="Arial" w:eastAsia="Arial" w:hAnsi="Arial"/>
                <w:sz w:val="20"/>
                <w:szCs w:val="20"/>
              </w:rPr>
              <w:t xml:space="preserve"/>
            </w:r>
          </w:p>
        </w:tc>
        <w:tc>
          <w:tcPr>
            <w:tcW w:type="dxa" w:w="9080"/>
            <w:tcBorders>
              <w:top w:val="none" w:color="FFFFFF" w:sz="0"/>
              <w:left w:val="none" w:color="FFFFFF" w:sz="0"/>
              <w:bottom w:val="none" w:color="FFFFFF" w:sz="0"/>
              <w:right w:val="none" w:color="FFFFFF" w:sz="0"/>
            </w:tcBorders>
            <w:shd w:fill="F7F8FA" w:val="clear"/>
            <w:tcMar>
              <w:top w:type="dxa" w:w="160"/>
              <w:left w:type="dxa" w:w="200"/>
              <w:bottom w:type="dxa" w:w="160"/>
              <w:right w:type="dxa" w:w="200"/>
            </w:tcMar>
          </w:tcPr>
          <w:p>
            <w:pPr>
              <w:spacing w:before="0" w:after="80"/>
            </w:pPr>
            <w:r>
              <w:rPr>
                <w:rFonts w:ascii="Arial" w:cs="Arial" w:eastAsia="Arial" w:hAnsi="Arial"/>
                <w:b/>
                <w:bCs/>
                <w:color w:val="1E2D40"/>
                <w:sz w:val="20"/>
                <w:szCs w:val="20"/>
              </w:rPr>
              <w:t xml:space="preserve">Why All Three Must Coexist</w:t>
            </w:r>
          </w:p>
          <w:p>
            <w:pPr>
              <w:spacing w:before="0" w:after="0"/>
            </w:pPr>
            <w:r>
              <w:rPr>
                <w:rFonts w:ascii="Arial" w:cs="Arial" w:eastAsia="Arial" w:hAnsi="Arial"/>
                <w:color w:val="1A1A2E"/>
                <w:sz w:val="21"/>
                <w:szCs w:val="21"/>
              </w:rPr>
              <w:t xml:space="preserve">The outer bridge fails without the inner one because a dysregulated nervous system cannot fully receive support. Someone in chronic survival mode will self-sabotage an opportunity not because they don’t want it, but because their body does not believe it is safe to have it. The coordination layer fails without both because even a perfect navigator cannot hold someone together who has no material floor and no internal scaffolding.</w:t>
            </w:r>
          </w:p>
        </w:tc>
      </w:tr>
    </w:tbl>
    <w:p>
      <w:pPr>
        <w:spacing w:before="0" w:after="0"/>
      </w:pPr>
      <w:r>
        <w:rPr>
          <w:rFonts w:ascii="Arial" w:cs="Arial" w:eastAsia="Arial" w:hAnsi="Arial"/>
        </w:rPr>
        <w:t xml:space="preserve"/>
      </w:r>
    </w:p>
    <w:p>
      <w:pPr>
        <w:pStyle w:val="Heading1"/>
        <w:pBdr>
          <w:bottom w:val="single" w:color="2D6A4F" w:sz="4" w:space="6"/>
        </w:pBdr>
        <w:spacing w:before="320" w:after="120"/>
      </w:pPr>
      <w:r>
        <w:rPr>
          <w:rFonts w:ascii="Arial" w:cs="Arial" w:eastAsia="Arial" w:hAnsi="Arial"/>
          <w:b/>
          <w:bCs/>
          <w:color w:val="1E2D40"/>
          <w:sz w:val="36"/>
          <w:szCs w:val="36"/>
        </w:rPr>
        <w:t xml:space="preserve">The Financial Crisis Literacy Gap</w:t>
      </w:r>
    </w:p>
    <w:p>
      <w:pPr>
        <w:spacing w:before="0" w:after="140"/>
      </w:pPr>
      <w:r>
        <w:rPr>
          <w:rFonts w:ascii="Arial" w:cs="Arial" w:eastAsia="Arial" w:hAnsi="Arial"/>
          <w:color w:val="1A1A2E"/>
          <w:sz w:val="22"/>
          <w:szCs w:val="22"/>
        </w:rPr>
        <w:t xml:space="preserve">Standard financial literacy — budgeting, saving, compound interest — is designed for people who are nearly stable. It is not designed for people whose bills already exceed their income, whose invoices are 60 days late, who owe back taxes, or who are navigating the IRS while trying to keep the lights on.</w:t>
      </w:r>
    </w:p>
    <w:p>
      <w:pPr>
        <w:spacing w:before="0" w:after="0"/>
      </w:pPr>
      <w:r>
        <w:rPr>
          <w:rFonts w:ascii="Arial" w:cs="Arial" w:eastAsia="Arial" w:hAnsi="Arial"/>
        </w:rPr>
        <w:t xml:space="preserve"/>
      </w:r>
    </w:p>
    <w:p>
      <w:pPr>
        <w:spacing w:before="0" w:after="140"/>
      </w:pPr>
      <w:r>
        <w:rPr>
          <w:rFonts w:ascii="Arial" w:cs="Arial" w:eastAsia="Arial" w:hAnsi="Arial"/>
          <w:color w:val="1A1A2E"/>
          <w:sz w:val="22"/>
          <w:szCs w:val="22"/>
        </w:rPr>
        <w:t xml:space="preserve">This is a distinct body of knowledge that almost no community-accessible resource currently addresses well. What it actually covers:</w:t>
      </w:r>
    </w:p>
    <w:p>
      <w:pPr>
        <w:spacing w:before="0" w:after="0"/>
      </w:pPr>
      <w:r>
        <w:rPr>
          <w:rFonts w:ascii="Arial" w:cs="Arial" w:eastAsia="Arial" w:hAnsi="Arial"/>
        </w:rPr>
        <w:t xml:space="preserve"/>
      </w:r>
    </w:p>
    <w:p>
      <w:pPr>
        <w:pStyle w:val="ListParagraph"/>
        <w:numPr>
          <w:ilvl w:val="0"/>
          <w:numId w:val="2"/>
        </w:numPr>
        <w:spacing w:before="0" w:after="100"/>
      </w:pPr>
      <w:r>
        <w:rPr>
          <w:rFonts w:ascii="Arial" w:cs="Arial" w:eastAsia="Arial" w:hAnsi="Arial"/>
          <w:color w:val="1A1A2E"/>
          <w:sz w:val="22"/>
          <w:szCs w:val="22"/>
        </w:rPr>
        <w:t xml:space="preserve">What to do when total monthly costs exceed monthly income — how to triage, which bills to pay first, what the real consequences of non-payment are</w:t>
      </w:r>
    </w:p>
    <w:p>
      <w:pPr>
        <w:pStyle w:val="ListParagraph"/>
        <w:numPr>
          <w:ilvl w:val="0"/>
          <w:numId w:val="2"/>
        </w:numPr>
        <w:spacing w:before="0" w:after="100"/>
      </w:pPr>
      <w:r>
        <w:rPr>
          <w:rFonts w:ascii="Arial" w:cs="Arial" w:eastAsia="Arial" w:hAnsi="Arial"/>
          <w:color w:val="1A1A2E"/>
          <w:sz w:val="22"/>
          <w:szCs w:val="22"/>
        </w:rPr>
        <w:t xml:space="preserve">IRS debt: Fresh Start program, installment agreements, currently-not-collectible status, offers in compromise — in plain language</w:t>
      </w:r>
    </w:p>
    <w:p>
      <w:pPr>
        <w:pStyle w:val="ListParagraph"/>
        <w:numPr>
          <w:ilvl w:val="0"/>
          <w:numId w:val="2"/>
        </w:numPr>
        <w:spacing w:before="0" w:after="100"/>
      </w:pPr>
      <w:r>
        <w:rPr>
          <w:rFonts w:ascii="Arial" w:cs="Arial" w:eastAsia="Arial" w:hAnsi="Arial"/>
          <w:color w:val="1A1A2E"/>
          <w:sz w:val="22"/>
          <w:szCs w:val="22"/>
        </w:rPr>
        <w:t xml:space="preserve">Invoice gaps for freelancers and independent contractors: bridge strategies, what to negotiate, how to communicate with clients, emergency income options</w:t>
      </w:r>
    </w:p>
    <w:p>
      <w:pPr>
        <w:pStyle w:val="ListParagraph"/>
        <w:numPr>
          <w:ilvl w:val="0"/>
          <w:numId w:val="2"/>
        </w:numPr>
        <w:spacing w:before="0" w:after="100"/>
      </w:pPr>
      <w:r>
        <w:rPr>
          <w:rFonts w:ascii="Arial" w:cs="Arial" w:eastAsia="Arial" w:hAnsi="Arial"/>
          <w:color w:val="1A1A2E"/>
          <w:sz w:val="22"/>
          <w:szCs w:val="22"/>
        </w:rPr>
        <w:t xml:space="preserve">Benefit cliffs: how to plan for income increases that could trigger benefit loss, how to time decisions to minimize the gap</w:t>
      </w:r>
    </w:p>
    <w:p>
      <w:pPr>
        <w:pStyle w:val="ListParagraph"/>
        <w:numPr>
          <w:ilvl w:val="0"/>
          <w:numId w:val="2"/>
        </w:numPr>
        <w:spacing w:before="0" w:after="100"/>
      </w:pPr>
      <w:r>
        <w:rPr>
          <w:rFonts w:ascii="Arial" w:cs="Arial" w:eastAsia="Arial" w:hAnsi="Arial"/>
          <w:color w:val="1A1A2E"/>
          <w:sz w:val="22"/>
          <w:szCs w:val="22"/>
        </w:rPr>
        <w:t xml:space="preserve">Debt prioritization: what can wait, what cannot, what the actual consequences of each are</w:t>
      </w:r>
    </w:p>
    <w:p>
      <w:pPr>
        <w:pStyle w:val="ListParagraph"/>
        <w:numPr>
          <w:ilvl w:val="0"/>
          <w:numId w:val="2"/>
        </w:numPr>
        <w:spacing w:before="0" w:after="100"/>
      </w:pPr>
      <w:r>
        <w:rPr>
          <w:rFonts w:ascii="Arial" w:cs="Arial" w:eastAsia="Arial" w:hAnsi="Arial"/>
          <w:color w:val="1A1A2E"/>
          <w:sz w:val="22"/>
          <w:szCs w:val="22"/>
        </w:rPr>
        <w:t xml:space="preserve">Shame and credit: what is actually on a credit report, what can be disputed, what a low score does and does not prevent</w:t>
      </w:r>
    </w:p>
    <w:p>
      <w:pPr>
        <w:spacing w:before="0" w:after="0"/>
      </w:pPr>
      <w:r>
        <w:rPr>
          <w:rFonts w:ascii="Arial" w:cs="Arial" w:eastAsia="Arial" w:hAnsi="Arial"/>
        </w:rPr>
        <w:t xml:space="preserve"/>
      </w:r>
    </w:p>
    <w:tbl>
      <w:tblPr>
        <w:tblW w:type="dxa" w:w="9360"/>
        <w:tblBorders>
          <w:top w:val="none" w:color="FFFFFF" w:sz="0"/>
          <w:left w:val="none" w:color="FFFFFF" w:sz="0"/>
          <w:bottom w:val="none" w:color="FFFFFF" w:sz="0"/>
          <w:right w:val="none" w:color="FFFFFF" w:sz="0"/>
          <w:insideH w:val="single" w:color="auto" w:sz="4"/>
          <w:insideV w:val="single" w:color="auto" w:sz="4"/>
        </w:tblBorders>
      </w:tblPr>
      <w:tblGrid>
        <w:gridCol w:w="280"/>
        <w:gridCol w:w="9080"/>
      </w:tblGrid>
      <w:tr>
        <w:tc>
          <w:tcPr>
            <w:tcW w:type="dxa" w:w="280"/>
            <w:tcBorders>
              <w:top w:val="none" w:color="FFFFFF" w:sz="0"/>
              <w:left w:val="none" w:color="FFFFFF" w:sz="0"/>
              <w:bottom w:val="none" w:color="FFFFFF" w:sz="0"/>
              <w:right w:val="none" w:color="FFFFFF" w:sz="0"/>
            </w:tcBorders>
            <w:shd w:fill="8B5A2B" w:val="clear"/>
            <w:tcMar>
              <w:top w:type="dxa" w:w="120"/>
              <w:left w:type="dxa" w:w="0"/>
              <w:bottom w:type="dxa" w:w="120"/>
              <w:right w:type="dxa" w:w="0"/>
            </w:tcMar>
          </w:tcPr>
          <w:p>
            <w:r>
              <w:rPr>
                <w:rFonts w:ascii="Arial" w:cs="Arial" w:eastAsia="Arial" w:hAnsi="Arial"/>
                <w:sz w:val="20"/>
                <w:szCs w:val="20"/>
              </w:rPr>
              <w:t xml:space="preserve"/>
            </w:r>
          </w:p>
        </w:tc>
        <w:tc>
          <w:tcPr>
            <w:tcW w:type="dxa" w:w="9080"/>
            <w:tcBorders>
              <w:top w:val="none" w:color="FFFFFF" w:sz="0"/>
              <w:left w:val="none" w:color="FFFFFF" w:sz="0"/>
              <w:bottom w:val="none" w:color="FFFFFF" w:sz="0"/>
              <w:right w:val="none" w:color="FFFFFF" w:sz="0"/>
            </w:tcBorders>
            <w:shd w:fill="FDF3E7" w:val="clear"/>
            <w:tcMar>
              <w:top w:type="dxa" w:w="160"/>
              <w:left w:type="dxa" w:w="200"/>
              <w:bottom w:type="dxa" w:w="160"/>
              <w:right w:type="dxa" w:w="200"/>
            </w:tcMar>
          </w:tcPr>
          <w:p>
            <w:pPr>
              <w:spacing w:before="0" w:after="80"/>
            </w:pPr>
            <w:r>
              <w:rPr>
                <w:rFonts w:ascii="Arial" w:cs="Arial" w:eastAsia="Arial" w:hAnsi="Arial"/>
                <w:b/>
                <w:bCs/>
                <w:color w:val="8B5A2B"/>
                <w:sz w:val="20"/>
                <w:szCs w:val="20"/>
              </w:rPr>
              <w:t xml:space="preserve">The Gap</w:t>
            </w:r>
          </w:p>
          <w:p>
            <w:pPr>
              <w:spacing w:before="0" w:after="0"/>
            </w:pPr>
            <w:r>
              <w:rPr>
                <w:rFonts w:ascii="Arial" w:cs="Arial" w:eastAsia="Arial" w:hAnsi="Arial"/>
                <w:color w:val="1A1A2E"/>
                <w:sz w:val="21"/>
                <w:szCs w:val="21"/>
              </w:rPr>
              <w:t xml:space="preserve">Most financial counseling programs are deficit-framed (you need to do better) and designed for near-stability. The population in active financial crisis needs crisis navigation tools, not savings goals. This resource does not currently exist in a community-accessible, shame-free format. It needs to be built.</w:t>
            </w:r>
          </w:p>
        </w:tc>
      </w:tr>
    </w:tbl>
    <w:p>
      <w:pPr>
        <w:spacing w:before="0" w:after="0"/>
      </w:pPr>
      <w:r>
        <w:rPr>
          <w:rFonts w:ascii="Arial" w:cs="Arial" w:eastAsia="Arial" w:hAnsi="Arial"/>
        </w:rPr>
        <w:t xml:space="preserve"/>
      </w:r>
    </w:p>
    <w:p>
      <w:r>
        <w:br w:type="page"/>
      </w:r>
    </w:p>
    <w:p>
      <w:pPr>
        <w:pStyle w:val="Heading1"/>
        <w:pBdr>
          <w:bottom w:val="single" w:color="2D6A4F" w:sz="4" w:space="6"/>
        </w:pBdr>
        <w:spacing w:before="320" w:after="120"/>
      </w:pPr>
      <w:r>
        <w:rPr>
          <w:rFonts w:ascii="Arial" w:cs="Arial" w:eastAsia="Arial" w:hAnsi="Arial"/>
          <w:b/>
          <w:bCs/>
          <w:color w:val="1E2D40"/>
          <w:sz w:val="36"/>
          <w:szCs w:val="36"/>
        </w:rPr>
        <w:t xml:space="preserve">What Exists: Program Examples</w:t>
      </w:r>
    </w:p>
    <w:p>
      <w:pPr>
        <w:spacing w:before="0" w:after="140"/>
      </w:pPr>
      <w:r>
        <w:rPr>
          <w:rFonts w:ascii="Arial" w:cs="Arial" w:eastAsia="Arial" w:hAnsi="Arial"/>
          <w:color w:val="1A1A2E"/>
          <w:sz w:val="22"/>
          <w:szCs w:val="22"/>
        </w:rPr>
        <w:t xml:space="preserve">Several programs demonstrate pieces of the bridge working well. None of them do all three layers. Understanding what works and where each hits its wall is essential for designing the full architecture.</w:t>
      </w:r>
    </w:p>
    <w:p>
      <w:pPr>
        <w:spacing w:before="0" w:after="0"/>
      </w:pPr>
      <w:r>
        <w:rPr>
          <w:rFonts w:ascii="Arial" w:cs="Arial" w:eastAsia="Arial" w:hAnsi="Arial"/>
        </w:rPr>
        <w:t xml:space="preserve"/>
      </w:r>
    </w:p>
    <w:tbl>
      <w:tblPr>
        <w:tblW w:type="dxa" w:w="9360"/>
        <w:tblBorders>
          <w:top w:val="single" w:color="2D6A4F" w:sz="1"/>
          <w:left w:val="single" w:color="2D6A4F" w:sz="1"/>
          <w:bottom w:val="single" w:color="E8EAEF" w:sz="1"/>
          <w:right w:val="single" w:color="E8EAEF" w:sz="1"/>
          <w:insideH w:val="single" w:color="auto" w:sz="4"/>
          <w:insideV w:val="single" w:color="auto" w:sz="4"/>
        </w:tblBorders>
      </w:tblPr>
      <w:tblGrid>
        <w:gridCol w:w="9360"/>
      </w:tblGrid>
      <w:tr>
        <w:tc>
          <w:tcPr>
            <w:tcW w:type="dxa" w:w="9360"/>
            <w:tcBorders>
              <w:top w:val="single" w:color="2D6A4F" w:sz="1"/>
              <w:left w:val="single" w:color="2D6A4F" w:sz="1"/>
              <w:bottom w:val="single" w:color="E8EAEF" w:sz="1"/>
              <w:right w:val="single" w:color="E8EAEF" w:sz="1"/>
            </w:tcBorders>
            <w:shd w:fill="EAF5EE" w:val="clear"/>
            <w:tcMar>
              <w:top w:type="dxa" w:w="160"/>
              <w:left w:type="dxa" w:w="200"/>
              <w:bottom w:type="dxa" w:w="160"/>
              <w:right w:type="dxa" w:w="200"/>
            </w:tcMar>
          </w:tcPr>
          <w:p>
            <w:pPr>
              <w:spacing w:before="0" w:after="80"/>
            </w:pPr>
            <w:r>
              <w:rPr>
                <w:rFonts w:ascii="Arial" w:cs="Arial" w:eastAsia="Arial" w:hAnsi="Arial"/>
                <w:b/>
                <w:bCs/>
                <w:color w:val="2D6A4F"/>
                <w:sz w:val="23"/>
                <w:szCs w:val="23"/>
              </w:rPr>
              <w:t xml:space="preserve">Cara Collective</w:t>
            </w:r>
            <w:r>
              <w:rPr>
                <w:rFonts w:ascii="Arial" w:cs="Arial" w:eastAsia="Arial" w:hAnsi="Arial"/>
                <w:color w:val="555555"/>
                <w:sz w:val="19"/>
                <w:szCs w:val="19"/>
              </w:rPr>
              <w:t xml:space="preserve">  •  Chicago, IL</w:t>
            </w:r>
          </w:p>
          <w:p>
            <w:pPr>
              <w:spacing w:before="0" w:after="80"/>
            </w:pPr>
            <w:r>
              <w:rPr>
                <w:rFonts w:ascii="Arial" w:cs="Arial" w:eastAsia="Arial" w:hAnsi="Arial"/>
                <w:color w:val="1A1A2E"/>
                <w:sz w:val="21"/>
                <w:szCs w:val="21"/>
              </w:rPr>
              <w:t xml:space="preserve">Workforce development with trauma-informed case management. Cara addresses barriers to employment through intensive coaching, job placement, and community support — one of the most whole-person workforce programs in Chicago.</w:t>
            </w:r>
          </w:p>
          <w:p>
            <w:pPr>
              <w:spacing w:before="80" w:after="40"/>
            </w:pPr>
            <w:r>
              <w:rPr>
                <w:rFonts w:ascii="Arial" w:cs="Arial" w:eastAsia="Arial" w:hAnsi="Arial"/>
                <w:b/>
                <w:bCs/>
                <w:color w:val="2D6A4F"/>
                <w:sz w:val="20"/>
                <w:szCs w:val="20"/>
              </w:rPr>
              <w:t xml:space="preserve">✓  What works: </w:t>
            </w:r>
            <w:r>
              <w:rPr>
                <w:rFonts w:ascii="Arial" w:cs="Arial" w:eastAsia="Arial" w:hAnsi="Arial"/>
                <w:color w:val="1A1A2E"/>
                <w:sz w:val="20"/>
                <w:szCs w:val="20"/>
              </w:rPr>
              <w:t xml:space="preserve">Explicitly addresses the inner bridge alongside the outer. Coaches are trained to hold the full person, not just the job placement metric. Strong community and accountability structure.</w:t>
            </w:r>
          </w:p>
          <w:p>
            <w:pPr>
              <w:spacing w:before="0" w:after="0"/>
            </w:pPr>
            <w:r>
              <w:rPr>
                <w:rFonts w:ascii="Arial" w:cs="Arial" w:eastAsia="Arial" w:hAnsi="Arial"/>
                <w:b/>
                <w:bCs/>
                <w:color w:val="8B5A2B"/>
                <w:sz w:val="20"/>
                <w:szCs w:val="20"/>
              </w:rPr>
              <w:t xml:space="preserve">✗  The wall it hits: </w:t>
            </w:r>
            <w:r>
              <w:rPr>
                <w:rFonts w:ascii="Arial" w:cs="Arial" w:eastAsia="Arial" w:hAnsi="Arial"/>
                <w:color w:val="1A1A2E"/>
                <w:sz w:val="20"/>
                <w:szCs w:val="20"/>
              </w:rPr>
              <w:t xml:space="preserve">Age and population restrictions apply. Does not cover housing or childcare. Mental health support is embedded but not equivalent to ongoing therapy. Stipends are limited.</w:t>
            </w:r>
          </w:p>
        </w:tc>
      </w:tr>
    </w:tbl>
    <w:p>
      <w:pPr>
        <w:spacing w:before="0" w:after="0"/>
      </w:pPr>
      <w:r>
        <w:rPr>
          <w:rFonts w:ascii="Arial" w:cs="Arial" w:eastAsia="Arial" w:hAnsi="Arial"/>
        </w:rPr>
        <w:t xml:space="preserve"/>
      </w:r>
    </w:p>
    <w:tbl>
      <w:tblPr>
        <w:tblW w:type="dxa" w:w="9360"/>
        <w:tblBorders>
          <w:top w:val="single" w:color="1E3A5F" w:sz="1"/>
          <w:left w:val="single" w:color="1E3A5F" w:sz="1"/>
          <w:bottom w:val="single" w:color="E8EAEF" w:sz="1"/>
          <w:right w:val="single" w:color="E8EAEF" w:sz="1"/>
          <w:insideH w:val="single" w:color="auto" w:sz="4"/>
          <w:insideV w:val="single" w:color="auto" w:sz="4"/>
        </w:tblBorders>
      </w:tblPr>
      <w:tblGrid>
        <w:gridCol w:w="9360"/>
      </w:tblGrid>
      <w:tr>
        <w:tc>
          <w:tcPr>
            <w:tcW w:type="dxa" w:w="9360"/>
            <w:tcBorders>
              <w:top w:val="single" w:color="1E3A5F" w:sz="1"/>
              <w:left w:val="single" w:color="1E3A5F" w:sz="1"/>
              <w:bottom w:val="single" w:color="E8EAEF" w:sz="1"/>
              <w:right w:val="single" w:color="E8EAEF" w:sz="1"/>
            </w:tcBorders>
            <w:shd w:fill="EBF0F9" w:val="clear"/>
            <w:tcMar>
              <w:top w:type="dxa" w:w="160"/>
              <w:left w:type="dxa" w:w="200"/>
              <w:bottom w:type="dxa" w:w="160"/>
              <w:right w:type="dxa" w:w="200"/>
            </w:tcMar>
          </w:tcPr>
          <w:p>
            <w:pPr>
              <w:spacing w:before="0" w:after="80"/>
            </w:pPr>
            <w:r>
              <w:rPr>
                <w:rFonts w:ascii="Arial" w:cs="Arial" w:eastAsia="Arial" w:hAnsi="Arial"/>
                <w:b/>
                <w:bCs/>
                <w:color w:val="1E3A5F"/>
                <w:sz w:val="23"/>
                <w:szCs w:val="23"/>
              </w:rPr>
              <w:t xml:space="preserve">Year Up</w:t>
            </w:r>
            <w:r>
              <w:rPr>
                <w:rFonts w:ascii="Arial" w:cs="Arial" w:eastAsia="Arial" w:hAnsi="Arial"/>
                <w:color w:val="555555"/>
                <w:sz w:val="19"/>
                <w:szCs w:val="19"/>
              </w:rPr>
              <w:t xml:space="preserve">  •  National (Chicago location)</w:t>
            </w:r>
          </w:p>
          <w:p>
            <w:pPr>
              <w:spacing w:before="0" w:after="80"/>
            </w:pPr>
            <w:r>
              <w:rPr>
                <w:rFonts w:ascii="Arial" w:cs="Arial" w:eastAsia="Arial" w:hAnsi="Arial"/>
                <w:color w:val="1A1A2E"/>
                <w:sz w:val="21"/>
                <w:szCs w:val="21"/>
              </w:rPr>
              <w:t xml:space="preserve">Intensive 6-month program combining professional skills training with a corporate internship. Participants receive a stipend (~$300/week) and earn college credits.</w:t>
            </w:r>
          </w:p>
          <w:p>
            <w:pPr>
              <w:spacing w:before="80" w:after="40"/>
            </w:pPr>
            <w:r>
              <w:rPr>
                <w:rFonts w:ascii="Arial" w:cs="Arial" w:eastAsia="Arial" w:hAnsi="Arial"/>
                <w:b/>
                <w:bCs/>
                <w:color w:val="2D6A4F"/>
                <w:sz w:val="20"/>
                <w:szCs w:val="20"/>
              </w:rPr>
              <w:t xml:space="preserve">✓  What works: </w:t>
            </w:r>
            <w:r>
              <w:rPr>
                <w:rFonts w:ascii="Arial" w:cs="Arial" w:eastAsia="Arial" w:hAnsi="Arial"/>
                <w:color w:val="1A1A2E"/>
                <w:sz w:val="20"/>
                <w:szCs w:val="20"/>
              </w:rPr>
              <w:t xml:space="preserve">Real stipend that partially covers costs. Direct pipeline to employment. Bridges the gap between training and a first professional job. High placement rates.</w:t>
            </w:r>
          </w:p>
          <w:p>
            <w:pPr>
              <w:spacing w:before="0" w:after="0"/>
            </w:pPr>
            <w:r>
              <w:rPr>
                <w:rFonts w:ascii="Arial" w:cs="Arial" w:eastAsia="Arial" w:hAnsi="Arial"/>
                <w:b/>
                <w:bCs/>
                <w:color w:val="8B5A2B"/>
                <w:sz w:val="20"/>
                <w:szCs w:val="20"/>
              </w:rPr>
              <w:t xml:space="preserve">✗  The wall it hits: </w:t>
            </w:r>
            <w:r>
              <w:rPr>
                <w:rFonts w:ascii="Arial" w:cs="Arial" w:eastAsia="Arial" w:hAnsi="Arial"/>
                <w:color w:val="1A1A2E"/>
                <w:sz w:val="20"/>
                <w:szCs w:val="20"/>
              </w:rPr>
              <w:t xml:space="preserve">Age restricted (18-29). Does not address the inner bridge — no therapy, no crisis financial navigation. Does not serve people with significant barriers (housing instability, active legal issues). Stipend does not cover real living costs in most cities.</w:t>
            </w:r>
          </w:p>
        </w:tc>
      </w:tr>
    </w:tbl>
    <w:p>
      <w:pPr>
        <w:spacing w:before="0" w:after="0"/>
      </w:pPr>
      <w:r>
        <w:rPr>
          <w:rFonts w:ascii="Arial" w:cs="Arial" w:eastAsia="Arial" w:hAnsi="Arial"/>
        </w:rPr>
        <w:t xml:space="preserve"/>
      </w:r>
    </w:p>
    <w:tbl>
      <w:tblPr>
        <w:tblW w:type="dxa" w:w="9360"/>
        <w:tblBorders>
          <w:top w:val="single" w:color="8B5A2B" w:sz="1"/>
          <w:left w:val="single" w:color="8B5A2B" w:sz="1"/>
          <w:bottom w:val="single" w:color="E8EAEF" w:sz="1"/>
          <w:right w:val="single" w:color="E8EAEF" w:sz="1"/>
          <w:insideH w:val="single" w:color="auto" w:sz="4"/>
          <w:insideV w:val="single" w:color="auto" w:sz="4"/>
        </w:tblBorders>
      </w:tblPr>
      <w:tblGrid>
        <w:gridCol w:w="9360"/>
      </w:tblGrid>
      <w:tr>
        <w:tc>
          <w:tcPr>
            <w:tcW w:type="dxa" w:w="9360"/>
            <w:tcBorders>
              <w:top w:val="single" w:color="8B5A2B" w:sz="1"/>
              <w:left w:val="single" w:color="8B5A2B" w:sz="1"/>
              <w:bottom w:val="single" w:color="E8EAEF" w:sz="1"/>
              <w:right w:val="single" w:color="E8EAEF" w:sz="1"/>
            </w:tcBorders>
            <w:shd w:fill="FDF3E7" w:val="clear"/>
            <w:tcMar>
              <w:top w:type="dxa" w:w="160"/>
              <w:left w:type="dxa" w:w="200"/>
              <w:bottom w:type="dxa" w:w="160"/>
              <w:right w:type="dxa" w:w="200"/>
            </w:tcMar>
          </w:tcPr>
          <w:p>
            <w:pPr>
              <w:spacing w:before="0" w:after="80"/>
            </w:pPr>
            <w:r>
              <w:rPr>
                <w:rFonts w:ascii="Arial" w:cs="Arial" w:eastAsia="Arial" w:hAnsi="Arial"/>
                <w:b/>
                <w:bCs/>
                <w:color w:val="8B5A2B"/>
                <w:sz w:val="23"/>
                <w:szCs w:val="23"/>
              </w:rPr>
              <w:t xml:space="preserve">Guaranteed Income Pilots</w:t>
            </w:r>
            <w:r>
              <w:rPr>
                <w:rFonts w:ascii="Arial" w:cs="Arial" w:eastAsia="Arial" w:hAnsi="Arial"/>
                <w:color w:val="555555"/>
                <w:sz w:val="19"/>
                <w:szCs w:val="19"/>
              </w:rPr>
              <w:t xml:space="preserve">  •  Chicago / Cook County</w:t>
            </w:r>
          </w:p>
          <w:p>
            <w:pPr>
              <w:spacing w:before="0" w:after="80"/>
            </w:pPr>
            <w:r>
              <w:rPr>
                <w:rFonts w:ascii="Arial" w:cs="Arial" w:eastAsia="Arial" w:hAnsi="Arial"/>
                <w:color w:val="1A1A2E"/>
                <w:sz w:val="21"/>
                <w:szCs w:val="21"/>
              </w:rPr>
              <w:t xml:space="preserve">Direct cash payments to participants during a defined period — no strings attached. Chicago’s GBI pilot and Cook County’s ARPA-funded program provided $500-$1,000/month to selected participants.</w:t>
            </w:r>
          </w:p>
          <w:p>
            <w:pPr>
              <w:spacing w:before="80" w:after="40"/>
            </w:pPr>
            <w:r>
              <w:rPr>
                <w:rFonts w:ascii="Arial" w:cs="Arial" w:eastAsia="Arial" w:hAnsi="Arial"/>
                <w:b/>
                <w:bCs/>
                <w:color w:val="2D6A4F"/>
                <w:sz w:val="20"/>
                <w:szCs w:val="20"/>
              </w:rPr>
              <w:t xml:space="preserve">✓  What works: </w:t>
            </w:r>
            <w:r>
              <w:rPr>
                <w:rFonts w:ascii="Arial" w:cs="Arial" w:eastAsia="Arial" w:hAnsi="Arial"/>
                <w:color w:val="1A1A2E"/>
                <w:sz w:val="20"/>
                <w:szCs w:val="20"/>
              </w:rPr>
              <w:t xml:space="preserve">Addresses the outer bridge directly. Cash lets people meet their own most urgent needs. Evidence shows participants use funds for food, housing, utilities — exactly what the TCES data says is driving insecurity.</w:t>
            </w:r>
          </w:p>
          <w:p>
            <w:pPr>
              <w:spacing w:before="0" w:after="0"/>
            </w:pPr>
            <w:r>
              <w:rPr>
                <w:rFonts w:ascii="Arial" w:cs="Arial" w:eastAsia="Arial" w:hAnsi="Arial"/>
                <w:b/>
                <w:bCs/>
                <w:color w:val="8B5A2B"/>
                <w:sz w:val="20"/>
                <w:szCs w:val="20"/>
              </w:rPr>
              <w:t xml:space="preserve">✗  The wall it hits: </w:t>
            </w:r>
            <w:r>
              <w:rPr>
                <w:rFonts w:ascii="Arial" w:cs="Arial" w:eastAsia="Arial" w:hAnsi="Arial"/>
                <w:color w:val="1A1A2E"/>
                <w:sz w:val="20"/>
                <w:szCs w:val="20"/>
              </w:rPr>
              <w:t xml:space="preserve">Time-limited by design (12-24 months). No coordination layer — cash alone does not connect people to programs or sequence their next steps. No inner bridge. Difficult to scale and sustain without dedicated funding streams.</w:t>
            </w:r>
          </w:p>
        </w:tc>
      </w:tr>
    </w:tbl>
    <w:p>
      <w:pPr>
        <w:spacing w:before="0" w:after="0"/>
      </w:pPr>
      <w:r>
        <w:rPr>
          <w:rFonts w:ascii="Arial" w:cs="Arial" w:eastAsia="Arial" w:hAnsi="Arial"/>
        </w:rPr>
        <w:t xml:space="preserve"/>
      </w:r>
    </w:p>
    <w:tbl>
      <w:tblPr>
        <w:tblW w:type="dxa" w:w="9360"/>
        <w:tblBorders>
          <w:top w:val="single" w:color="1E3A5F" w:sz="1"/>
          <w:left w:val="single" w:color="1E3A5F" w:sz="1"/>
          <w:bottom w:val="single" w:color="E8EAEF" w:sz="1"/>
          <w:right w:val="single" w:color="E8EAEF" w:sz="1"/>
          <w:insideH w:val="single" w:color="auto" w:sz="4"/>
          <w:insideV w:val="single" w:color="auto" w:sz="4"/>
        </w:tblBorders>
      </w:tblPr>
      <w:tblGrid>
        <w:gridCol w:w="9360"/>
      </w:tblGrid>
      <w:tr>
        <w:tc>
          <w:tcPr>
            <w:tcW w:type="dxa" w:w="9360"/>
            <w:tcBorders>
              <w:top w:val="single" w:color="1E3A5F" w:sz="1"/>
              <w:left w:val="single" w:color="1E3A5F" w:sz="1"/>
              <w:bottom w:val="single" w:color="E8EAEF" w:sz="1"/>
              <w:right w:val="single" w:color="E8EAEF" w:sz="1"/>
            </w:tcBorders>
            <w:shd w:fill="EAF5EE" w:val="clear"/>
            <w:tcMar>
              <w:top w:type="dxa" w:w="160"/>
              <w:left w:type="dxa" w:w="200"/>
              <w:bottom w:type="dxa" w:w="160"/>
              <w:right w:type="dxa" w:w="200"/>
            </w:tcMar>
          </w:tcPr>
          <w:p>
            <w:pPr>
              <w:spacing w:before="0" w:after="80"/>
            </w:pPr>
            <w:r>
              <w:rPr>
                <w:rFonts w:ascii="Arial" w:cs="Arial" w:eastAsia="Arial" w:hAnsi="Arial"/>
                <w:b/>
                <w:bCs/>
                <w:color w:val="1E3A5F"/>
                <w:sz w:val="23"/>
                <w:szCs w:val="23"/>
              </w:rPr>
              <w:t xml:space="preserve">Benefits Navigation Programs</w:t>
            </w:r>
            <w:r>
              <w:rPr>
                <w:rFonts w:ascii="Arial" w:cs="Arial" w:eastAsia="Arial" w:hAnsi="Arial"/>
                <w:color w:val="555555"/>
                <w:sz w:val="19"/>
                <w:szCs w:val="19"/>
              </w:rPr>
              <w:t xml:space="preserve">  •  Chicago / National</w:t>
            </w:r>
          </w:p>
          <w:p>
            <w:pPr>
              <w:spacing w:before="0" w:after="80"/>
            </w:pPr>
            <w:r>
              <w:rPr>
                <w:rFonts w:ascii="Arial" w:cs="Arial" w:eastAsia="Arial" w:hAnsi="Arial"/>
                <w:color w:val="1A1A2E"/>
                <w:sz w:val="21"/>
                <w:szCs w:val="21"/>
              </w:rPr>
              <w:t xml:space="preserve">Organizations that help individuals identify and enroll in all available public benefits simultaneously — SNAP, Medicaid, housing vouchers, EITC, childcare subsidies, and more.</w:t>
            </w:r>
          </w:p>
          <w:p>
            <w:pPr>
              <w:spacing w:before="80" w:after="40"/>
            </w:pPr>
            <w:r>
              <w:rPr>
                <w:rFonts w:ascii="Arial" w:cs="Arial" w:eastAsia="Arial" w:hAnsi="Arial"/>
                <w:b/>
                <w:bCs/>
                <w:color w:val="2D6A4F"/>
                <w:sz w:val="20"/>
                <w:szCs w:val="20"/>
              </w:rPr>
              <w:t xml:space="preserve">✓  What works: </w:t>
            </w:r>
            <w:r>
              <w:rPr>
                <w:rFonts w:ascii="Arial" w:cs="Arial" w:eastAsia="Arial" w:hAnsi="Arial"/>
                <w:color w:val="1A1A2E"/>
                <w:sz w:val="20"/>
                <w:szCs w:val="20"/>
              </w:rPr>
              <w:t xml:space="preserve">Demonstrates the coordination layer in practice. Reduces the burden of navigating multiple systems. Identifies benefits people qualify for but didn’t know existed. Addresses the cliff problem by mapping eligibility holistically.</w:t>
            </w:r>
          </w:p>
          <w:p>
            <w:pPr>
              <w:spacing w:before="0" w:after="0"/>
            </w:pPr>
            <w:r>
              <w:rPr>
                <w:rFonts w:ascii="Arial" w:cs="Arial" w:eastAsia="Arial" w:hAnsi="Arial"/>
                <w:b/>
                <w:bCs/>
                <w:color w:val="8B5A2B"/>
                <w:sz w:val="20"/>
                <w:szCs w:val="20"/>
              </w:rPr>
              <w:t xml:space="preserve">✗  The wall it hits: </w:t>
            </w:r>
            <w:r>
              <w:rPr>
                <w:rFonts w:ascii="Arial" w:cs="Arial" w:eastAsia="Arial" w:hAnsi="Arial"/>
                <w:color w:val="1A1A2E"/>
                <w:sz w:val="20"/>
                <w:szCs w:val="20"/>
              </w:rPr>
              <w:t xml:space="preserve">Benefits navigation is only as useful as the benefits that exist. When programs have waitlists, age restrictions, or funding gaps, navigation alone cannot close the gap. Does not address the inner bridge or provide material support beyond enrollment.</w:t>
            </w:r>
          </w:p>
        </w:tc>
      </w:tr>
    </w:tbl>
    <w:p>
      <w:pPr>
        <w:spacing w:before="0" w:after="0"/>
      </w:pPr>
      <w:r>
        <w:rPr>
          <w:rFonts w:ascii="Arial" w:cs="Arial" w:eastAsia="Arial" w:hAnsi="Arial"/>
        </w:rPr>
        <w:t xml:space="preserve"/>
      </w:r>
    </w:p>
    <w:p>
      <w:pPr>
        <w:pStyle w:val="Heading1"/>
        <w:pBdr>
          <w:bottom w:val="single" w:color="2D6A4F" w:sz="4" w:space="6"/>
        </w:pBdr>
        <w:spacing w:before="320" w:after="120"/>
      </w:pPr>
      <w:r>
        <w:rPr>
          <w:rFonts w:ascii="Arial" w:cs="Arial" w:eastAsia="Arial" w:hAnsi="Arial"/>
          <w:b/>
          <w:bCs/>
          <w:color w:val="1E2D40"/>
          <w:sz w:val="36"/>
          <w:szCs w:val="36"/>
        </w:rPr>
        <w:t xml:space="preserve">Where Programs Hit Their Walls</w:t>
      </w:r>
    </w:p>
    <w:p>
      <w:pPr>
        <w:spacing w:before="0" w:after="140"/>
      </w:pPr>
      <w:r>
        <w:rPr>
          <w:rFonts w:ascii="Arial" w:cs="Arial" w:eastAsia="Arial" w:hAnsi="Arial"/>
          <w:color w:val="1A1A2E"/>
          <w:sz w:val="22"/>
          <w:szCs w:val="22"/>
        </w:rPr>
        <w:t xml:space="preserve">The limitations programs face are not failures of effort or intention. They are structural. Understanding the wall helps identify where policy, philanthropy, and new design need to step in.</w:t>
      </w:r>
    </w:p>
    <w:p>
      <w:pPr>
        <w:spacing w:before="0" w:after="0"/>
      </w:pPr>
      <w:r>
        <w:rPr>
          <w:rFonts w:ascii="Arial" w:cs="Arial" w:eastAsia="Arial" w:hAnsi="Arial"/>
        </w:rPr>
        <w:t xml:space="preserve"/>
      </w:r>
    </w:p>
    <w:tbl>
      <w:tblPr>
        <w:tblW w:type="dxa" w:w="9360"/>
        <w:tblBorders>
          <w:top w:val="none" w:color="FFFFFF" w:sz="0"/>
          <w:left w:val="none" w:color="FFFFFF" w:sz="0"/>
          <w:bottom w:val="none" w:color="FFFFFF" w:sz="0"/>
          <w:right w:val="none" w:color="FFFFFF" w:sz="0"/>
          <w:insideH w:val="single" w:color="auto" w:sz="4"/>
          <w:insideV w:val="single" w:color="auto" w:sz="4"/>
        </w:tblBorders>
      </w:tblPr>
      <w:tblGrid>
        <w:gridCol w:w="4560"/>
        <w:gridCol w:w="240"/>
        <w:gridCol w:w="4560"/>
      </w:tblGrid>
      <w:tr>
        <w:tc>
          <w:tcPr>
            <w:tcW w:type="dxa" w:w="4560"/>
            <w:tcBorders>
              <w:top w:val="none" w:color="FFFFFF" w:sz="0"/>
              <w:left w:val="none" w:color="FFFFFF" w:sz="0"/>
              <w:bottom w:val="none" w:color="FFFFFF" w:sz="0"/>
              <w:right w:val="none" w:color="FFFFFF" w:sz="0"/>
            </w:tcBorders>
            <w:tcMar>
              <w:top w:type="dxa" w:w="80"/>
              <w:left w:type="dxa" w:w="0"/>
              <w:bottom w:type="dxa" w:w="80"/>
              <w:right w:type="dxa" w:w="80"/>
            </w:tcMar>
          </w:tcPr>
          <w:p>
            <w:pPr>
              <w:spacing w:before="200" w:after="60"/>
            </w:pPr>
            <w:r>
              <w:rPr>
                <w:rFonts w:ascii="Arial" w:cs="Arial" w:eastAsia="Arial" w:hAnsi="Arial"/>
                <w:b/>
                <w:bCs/>
                <w:color w:val="1E2D40"/>
                <w:sz w:val="22"/>
                <w:szCs w:val="22"/>
              </w:rPr>
              <w:t xml:space="preserve">Nonprofit Capacity Constraints</w:t>
            </w:r>
          </w:p>
          <w:p>
            <w:pPr>
              <w:spacing w:before="0" w:after="140"/>
            </w:pPr>
            <w:r>
              <w:rPr>
                <w:rFonts w:ascii="Arial" w:cs="Arial" w:eastAsia="Arial" w:hAnsi="Arial"/>
                <w:color w:val="1A1A2E"/>
                <w:sz w:val="22"/>
                <w:szCs w:val="22"/>
              </w:rPr>
              <w:t xml:space="preserve">Most nonprofits can only do one thing well. Age restrictions exist because funders define the target population. Small stipends exist because operational budgets don’t include living expenses. Limited mental health staff exist because therapists are expensive and hard to retain. The organization that wants to do all three layers of the bridge cannot — not because the vision is wrong, but because it is funded for one piece.</w:t>
            </w:r>
          </w:p>
        </w:tc>
        <w:tc>
          <w:tcPr>
            <w:tcW w:type="dxa" w:w="240"/>
            <w:tcBorders>
              <w:top w:val="none" w:color="FFFFFF" w:sz="0"/>
              <w:left w:val="none" w:color="FFFFFF" w:sz="0"/>
              <w:bottom w:val="none" w:color="FFFFFF" w:sz="0"/>
              <w:right w:val="none" w:color="FFFFFF" w:sz="0"/>
            </w:tcBorders>
          </w:tcPr>
          <w:p>
            <w:r>
              <w:rPr>
                <w:rFonts w:ascii="Arial" w:cs="Arial" w:eastAsia="Arial" w:hAnsi="Arial"/>
              </w:rPr>
              <w:t xml:space="preserve"/>
            </w:r>
          </w:p>
        </w:tc>
        <w:tc>
          <w:tcPr>
            <w:tcW w:type="dxa" w:w="4560"/>
            <w:tcBorders>
              <w:top w:val="none" w:color="FFFFFF" w:sz="0"/>
              <w:left w:val="none" w:color="FFFFFF" w:sz="0"/>
              <w:bottom w:val="none" w:color="FFFFFF" w:sz="0"/>
              <w:right w:val="none" w:color="FFFFFF" w:sz="0"/>
            </w:tcBorders>
            <w:tcMar>
              <w:top w:type="dxa" w:w="80"/>
              <w:left w:type="dxa" w:w="80"/>
              <w:bottom w:type="dxa" w:w="80"/>
              <w:right w:type="dxa" w:w="0"/>
            </w:tcMar>
          </w:tcPr>
          <w:p>
            <w:pPr>
              <w:spacing w:before="200" w:after="60"/>
            </w:pPr>
            <w:r>
              <w:rPr>
                <w:rFonts w:ascii="Arial" w:cs="Arial" w:eastAsia="Arial" w:hAnsi="Arial"/>
                <w:b/>
                <w:bCs/>
                <w:color w:val="1E2D40"/>
                <w:sz w:val="22"/>
                <w:szCs w:val="22"/>
              </w:rPr>
              <w:t xml:space="preserve">The Benefit Cliff Problem</w:t>
            </w:r>
          </w:p>
          <w:p>
            <w:pPr>
              <w:spacing w:before="0" w:after="140"/>
            </w:pPr>
            <w:r>
              <w:rPr>
                <w:rFonts w:ascii="Arial" w:cs="Arial" w:eastAsia="Arial" w:hAnsi="Arial"/>
                <w:color w:val="1A1A2E"/>
                <w:sz w:val="22"/>
                <w:szCs w:val="22"/>
              </w:rPr>
              <w:t xml:space="preserve">Earning more money can make things worse before they make them better. A participant gets a job, her income crosses a threshold, she loses her childcare subsidy — the childcare now costs more than the new income covers. This is not a policy accident. It is a design failure that penalizes people for making progress, and it happens at every layer: housing, food, healthcare, childcare.</w:t>
            </w:r>
          </w:p>
        </w:tc>
      </w:tr>
    </w:tbl>
    <w:p>
      <w:pPr>
        <w:spacing w:before="0" w:after="0"/>
      </w:pPr>
      <w:r>
        <w:rPr>
          <w:rFonts w:ascii="Arial" w:cs="Arial" w:eastAsia="Arial" w:hAnsi="Arial"/>
        </w:rPr>
        <w:t xml:space="preserve"/>
      </w:r>
    </w:p>
    <w:tbl>
      <w:tblPr>
        <w:tblW w:type="dxa" w:w="9360"/>
        <w:tblBorders>
          <w:top w:val="none" w:color="FFFFFF" w:sz="0"/>
          <w:left w:val="none" w:color="FFFFFF" w:sz="0"/>
          <w:bottom w:val="none" w:color="FFFFFF" w:sz="0"/>
          <w:right w:val="none" w:color="FFFFFF" w:sz="0"/>
          <w:insideH w:val="single" w:color="auto" w:sz="4"/>
          <w:insideV w:val="single" w:color="auto" w:sz="4"/>
        </w:tblBorders>
      </w:tblPr>
      <w:tblGrid>
        <w:gridCol w:w="4560"/>
        <w:gridCol w:w="240"/>
        <w:gridCol w:w="4560"/>
      </w:tblGrid>
      <w:tr>
        <w:tc>
          <w:tcPr>
            <w:tcW w:type="dxa" w:w="4560"/>
            <w:tcBorders>
              <w:top w:val="none" w:color="FFFFFF" w:sz="0"/>
              <w:left w:val="none" w:color="FFFFFF" w:sz="0"/>
              <w:bottom w:val="none" w:color="FFFFFF" w:sz="0"/>
              <w:right w:val="none" w:color="FFFFFF" w:sz="0"/>
            </w:tcBorders>
            <w:tcMar>
              <w:top w:type="dxa" w:w="80"/>
              <w:left w:type="dxa" w:w="0"/>
              <w:bottom w:type="dxa" w:w="80"/>
              <w:right w:type="dxa" w:w="80"/>
            </w:tcMar>
          </w:tcPr>
          <w:p>
            <w:pPr>
              <w:spacing w:before="200" w:after="60"/>
            </w:pPr>
            <w:r>
              <w:rPr>
                <w:rFonts w:ascii="Arial" w:cs="Arial" w:eastAsia="Arial" w:hAnsi="Arial"/>
                <w:b/>
                <w:bCs/>
                <w:color w:val="1E2D40"/>
                <w:sz w:val="22"/>
                <w:szCs w:val="22"/>
              </w:rPr>
              <w:t xml:space="preserve">Funding Silos</w:t>
            </w:r>
          </w:p>
          <w:p>
            <w:pPr>
              <w:spacing w:before="0" w:after="140"/>
            </w:pPr>
            <w:r>
              <w:rPr>
                <w:rFonts w:ascii="Arial" w:cs="Arial" w:eastAsia="Arial" w:hAnsi="Arial"/>
                <w:color w:val="1A1A2E"/>
                <w:sz w:val="22"/>
                <w:szCs w:val="22"/>
              </w:rPr>
              <w:t xml:space="preserve">Federal and state funding is program-specific by design. WIOA funds workforce activities. CDBG funds community development. Medicaid funds healthcare. No funding stream says: “fund the coordinator who holds the whole picture.” The result is that every program has staff, but no one is staffed to make the programs work together for any individual person.</w:t>
            </w:r>
          </w:p>
        </w:tc>
        <w:tc>
          <w:tcPr>
            <w:tcW w:type="dxa" w:w="240"/>
            <w:tcBorders>
              <w:top w:val="none" w:color="FFFFFF" w:sz="0"/>
              <w:left w:val="none" w:color="FFFFFF" w:sz="0"/>
              <w:bottom w:val="none" w:color="FFFFFF" w:sz="0"/>
              <w:right w:val="none" w:color="FFFFFF" w:sz="0"/>
            </w:tcBorders>
          </w:tcPr>
          <w:p>
            <w:r>
              <w:rPr>
                <w:rFonts w:ascii="Arial" w:cs="Arial" w:eastAsia="Arial" w:hAnsi="Arial"/>
              </w:rPr>
              <w:t xml:space="preserve"/>
            </w:r>
          </w:p>
        </w:tc>
        <w:tc>
          <w:tcPr>
            <w:tcW w:type="dxa" w:w="4560"/>
            <w:tcBorders>
              <w:top w:val="none" w:color="FFFFFF" w:sz="0"/>
              <w:left w:val="none" w:color="FFFFFF" w:sz="0"/>
              <w:bottom w:val="none" w:color="FFFFFF" w:sz="0"/>
              <w:right w:val="none" w:color="FFFFFF" w:sz="0"/>
            </w:tcBorders>
            <w:tcMar>
              <w:top w:type="dxa" w:w="80"/>
              <w:left w:type="dxa" w:w="80"/>
              <w:bottom w:type="dxa" w:w="80"/>
              <w:right w:type="dxa" w:w="0"/>
            </w:tcMar>
          </w:tcPr>
          <w:p>
            <w:pPr>
              <w:spacing w:before="200" w:after="60"/>
            </w:pPr>
            <w:r>
              <w:rPr>
                <w:rFonts w:ascii="Arial" w:cs="Arial" w:eastAsia="Arial" w:hAnsi="Arial"/>
                <w:b/>
                <w:bCs/>
                <w:color w:val="1E2D40"/>
                <w:sz w:val="22"/>
                <w:szCs w:val="22"/>
              </w:rPr>
              <w:t xml:space="preserve">The Inner Bridge Is Not Funded</w:t>
            </w:r>
          </w:p>
          <w:p>
            <w:pPr>
              <w:spacing w:before="0" w:after="140"/>
            </w:pPr>
            <w:r>
              <w:rPr>
                <w:rFonts w:ascii="Arial" w:cs="Arial" w:eastAsia="Arial" w:hAnsi="Arial"/>
                <w:color w:val="1A1A2E"/>
                <w:sz w:val="22"/>
                <w:szCs w:val="22"/>
              </w:rPr>
              <w:t xml:space="preserve">Mental health support and nervous system regulation are almost never included in workforce or economic security programs — even though they are preconditions for everything else working. Therapy is expensive. The specific kind of shame-free, crisis-oriented support described here does not have a standard funding stream. EAP programs exist but are employer-provided and not community-accessible.</w:t>
            </w:r>
          </w:p>
        </w:tc>
      </w:tr>
    </w:tbl>
    <w:p>
      <w:pPr>
        <w:spacing w:before="0" w:after="0"/>
      </w:pPr>
      <w:r>
        <w:rPr>
          <w:rFonts w:ascii="Arial" w:cs="Arial" w:eastAsia="Arial" w:hAnsi="Arial"/>
        </w:rPr>
        <w:t xml:space="preserve"/>
      </w:r>
    </w:p>
    <w:p>
      <w:pPr>
        <w:pStyle w:val="Heading1"/>
        <w:pBdr>
          <w:bottom w:val="single" w:color="2D6A4F" w:sz="4" w:space="6"/>
        </w:pBdr>
        <w:spacing w:before="320" w:after="120"/>
      </w:pPr>
      <w:r>
        <w:rPr>
          <w:rFonts w:ascii="Arial" w:cs="Arial" w:eastAsia="Arial" w:hAnsi="Arial"/>
          <w:b/>
          <w:bCs/>
          <w:color w:val="1E2D40"/>
          <w:sz w:val="36"/>
          <w:szCs w:val="36"/>
        </w:rPr>
        <w:t xml:space="preserve">Where the State and Federal Government Come In</w:t>
      </w:r>
    </w:p>
    <w:p>
      <w:pPr>
        <w:spacing w:before="0" w:after="140"/>
      </w:pPr>
      <w:r>
        <w:rPr>
          <w:rFonts w:ascii="Arial" w:cs="Arial" w:eastAsia="Arial" w:hAnsi="Arial"/>
          <w:color w:val="1A1A2E"/>
          <w:sz w:val="22"/>
          <w:szCs w:val="22"/>
        </w:rPr>
        <w:t xml:space="preserve">Some of what the bridge requires cannot be funded by nonprofits or philanthropy alone. This is where policy intervention is not just helpful but necessary.</w:t>
      </w:r>
    </w:p>
    <w:p>
      <w:pPr>
        <w:spacing w:before="0" w:after="0"/>
      </w:pPr>
      <w:r>
        <w:rPr>
          <w:rFonts w:ascii="Arial" w:cs="Arial" w:eastAsia="Arial" w:hAnsi="Arial"/>
        </w:rPr>
        <w:t xml:space="preserve"/>
      </w:r>
    </w:p>
    <w:p>
      <w:pPr>
        <w:pStyle w:val="Heading2"/>
        <w:spacing w:before="280" w:after="80"/>
      </w:pPr>
      <w:r>
        <w:rPr>
          <w:rFonts w:ascii="Arial" w:cs="Arial" w:eastAsia="Arial" w:hAnsi="Arial"/>
          <w:b/>
          <w:bCs/>
          <w:color w:val="1E2D40"/>
          <w:sz w:val="26"/>
          <w:szCs w:val="26"/>
        </w:rPr>
        <w:t xml:space="preserve">What State Government Can Do</w:t>
      </w:r>
    </w:p>
    <w:p>
      <w:pPr>
        <w:pStyle w:val="ListParagraph"/>
        <w:numPr>
          <w:ilvl w:val="0"/>
          <w:numId w:val="2"/>
        </w:numPr>
        <w:spacing w:before="0" w:after="100"/>
      </w:pPr>
      <w:r>
        <w:rPr>
          <w:rFonts w:ascii="Arial" w:cs="Arial" w:eastAsia="Arial" w:hAnsi="Arial"/>
          <w:color w:val="1A1A2E"/>
          <w:sz w:val="22"/>
          <w:szCs w:val="22"/>
        </w:rPr>
        <w:t xml:space="preserve">Benefit cliff reform: redesign phase-outs so that income increases do not trigger immediate benefit loss. Graduated, staggered phase-outs are both possible and proven.</w:t>
      </w:r>
    </w:p>
    <w:p>
      <w:pPr>
        <w:pStyle w:val="ListParagraph"/>
        <w:numPr>
          <w:ilvl w:val="0"/>
          <w:numId w:val="2"/>
        </w:numPr>
        <w:spacing w:before="0" w:after="100"/>
      </w:pPr>
      <w:r>
        <w:rPr>
          <w:rFonts w:ascii="Arial" w:cs="Arial" w:eastAsia="Arial" w:hAnsi="Arial"/>
          <w:color w:val="1A1A2E"/>
          <w:sz w:val="22"/>
          <w:szCs w:val="22"/>
        </w:rPr>
        <w:t xml:space="preserve">Fund the navigator role explicitly: create a funding stream for coordination infrastructure — the person whose job is to make programs work together for an individual.</w:t>
      </w:r>
    </w:p>
    <w:p>
      <w:pPr>
        <w:pStyle w:val="ListParagraph"/>
        <w:numPr>
          <w:ilvl w:val="0"/>
          <w:numId w:val="2"/>
        </w:numPr>
        <w:spacing w:before="0" w:after="100"/>
      </w:pPr>
      <w:r>
        <w:rPr>
          <w:rFonts w:ascii="Arial" w:cs="Arial" w:eastAsia="Arial" w:hAnsi="Arial"/>
          <w:color w:val="1A1A2E"/>
          <w:sz w:val="22"/>
          <w:szCs w:val="22"/>
        </w:rPr>
        <w:t xml:space="preserve">Medicaid expansion for community mental health: ensure that therapy and trauma-informed mental health services are covered and accessible to people who are not in crisis but need ongoing support.</w:t>
      </w:r>
    </w:p>
    <w:p>
      <w:pPr>
        <w:pStyle w:val="ListParagraph"/>
        <w:numPr>
          <w:ilvl w:val="0"/>
          <w:numId w:val="2"/>
        </w:numPr>
        <w:spacing w:before="0" w:after="100"/>
      </w:pPr>
      <w:r>
        <w:rPr>
          <w:rFonts w:ascii="Arial" w:cs="Arial" w:eastAsia="Arial" w:hAnsi="Arial"/>
          <w:color w:val="1A1A2E"/>
          <w:sz w:val="22"/>
          <w:szCs w:val="22"/>
        </w:rPr>
        <w:t xml:space="preserve">Require cross-program data coordination: allow service providers to share participant data (with consent) so people are not re-enrolling in every system from scratch.</w:t>
      </w:r>
    </w:p>
    <w:p>
      <w:pPr>
        <w:pStyle w:val="ListParagraph"/>
        <w:numPr>
          <w:ilvl w:val="0"/>
          <w:numId w:val="2"/>
        </w:numPr>
        <w:spacing w:before="0" w:after="100"/>
      </w:pPr>
      <w:r>
        <w:rPr>
          <w:rFonts w:ascii="Arial" w:cs="Arial" w:eastAsia="Arial" w:hAnsi="Arial"/>
          <w:color w:val="1A1A2E"/>
          <w:sz w:val="22"/>
          <w:szCs w:val="22"/>
        </w:rPr>
        <w:t xml:space="preserve">Pilot bridge income programs: time-limited, no-strings direct income support during defined transition periods — not as a permanent solution, but as the outer bridge that holds people while other investments take hold.</w:t>
      </w:r>
    </w:p>
    <w:p>
      <w:pPr>
        <w:spacing w:before="0" w:after="0"/>
      </w:pPr>
      <w:r>
        <w:rPr>
          <w:rFonts w:ascii="Arial" w:cs="Arial" w:eastAsia="Arial" w:hAnsi="Arial"/>
        </w:rPr>
        <w:t xml:space="preserve"/>
      </w:r>
    </w:p>
    <w:tbl>
      <w:tblPr>
        <w:tblW w:type="dxa" w:w="9360"/>
        <w:tblBorders>
          <w:top w:val="none" w:color="FFFFFF" w:sz="0"/>
          <w:left w:val="none" w:color="FFFFFF" w:sz="0"/>
          <w:bottom w:val="none" w:color="FFFFFF" w:sz="0"/>
          <w:right w:val="none" w:color="FFFFFF" w:sz="0"/>
          <w:insideH w:val="single" w:color="auto" w:sz="4"/>
          <w:insideV w:val="single" w:color="auto" w:sz="4"/>
        </w:tblBorders>
      </w:tblPr>
      <w:tblGrid>
        <w:gridCol w:w="280"/>
        <w:gridCol w:w="9080"/>
      </w:tblGrid>
      <w:tr>
        <w:tc>
          <w:tcPr>
            <w:tcW w:type="dxa" w:w="280"/>
            <w:tcBorders>
              <w:top w:val="none" w:color="FFFFFF" w:sz="0"/>
              <w:left w:val="none" w:color="FFFFFF" w:sz="0"/>
              <w:bottom w:val="none" w:color="FFFFFF" w:sz="0"/>
              <w:right w:val="none" w:color="FFFFFF" w:sz="0"/>
            </w:tcBorders>
            <w:shd w:fill="2D6A4F" w:val="clear"/>
            <w:tcMar>
              <w:top w:type="dxa" w:w="120"/>
              <w:left w:type="dxa" w:w="0"/>
              <w:bottom w:type="dxa" w:w="120"/>
              <w:right w:type="dxa" w:w="0"/>
            </w:tcMar>
          </w:tcPr>
          <w:p>
            <w:r>
              <w:rPr>
                <w:rFonts w:ascii="Arial" w:cs="Arial" w:eastAsia="Arial" w:hAnsi="Arial"/>
                <w:sz w:val="20"/>
                <w:szCs w:val="20"/>
              </w:rPr>
              <w:t xml:space="preserve"/>
            </w:r>
          </w:p>
        </w:tc>
        <w:tc>
          <w:tcPr>
            <w:tcW w:type="dxa" w:w="9080"/>
            <w:tcBorders>
              <w:top w:val="none" w:color="FFFFFF" w:sz="0"/>
              <w:left w:val="none" w:color="FFFFFF" w:sz="0"/>
              <w:bottom w:val="none" w:color="FFFFFF" w:sz="0"/>
              <w:right w:val="none" w:color="FFFFFF" w:sz="0"/>
            </w:tcBorders>
            <w:shd w:fill="EAF5EE" w:val="clear"/>
            <w:tcMar>
              <w:top w:type="dxa" w:w="160"/>
              <w:left w:type="dxa" w:w="200"/>
              <w:bottom w:type="dxa" w:w="160"/>
              <w:right w:type="dxa" w:w="200"/>
            </w:tcMar>
          </w:tcPr>
          <w:p>
            <w:pPr>
              <w:spacing w:before="0" w:after="80"/>
            </w:pPr>
            <w:r>
              <w:rPr>
                <w:rFonts w:ascii="Arial" w:cs="Arial" w:eastAsia="Arial" w:hAnsi="Arial"/>
                <w:b/>
                <w:bCs/>
                <w:color w:val="2D6A4F"/>
                <w:sz w:val="20"/>
                <w:szCs w:val="20"/>
              </w:rPr>
              <w:t xml:space="preserve">Illinois-Specific Lever</w:t>
            </w:r>
          </w:p>
          <w:p>
            <w:pPr>
              <w:spacing w:before="0" w:after="0"/>
            </w:pPr>
            <w:r>
              <w:rPr>
                <w:rFonts w:ascii="Arial" w:cs="Arial" w:eastAsia="Arial" w:hAnsi="Arial"/>
                <w:color w:val="1A1A2E"/>
                <w:sz w:val="21"/>
                <w:szCs w:val="21"/>
              </w:rPr>
              <w:t xml:space="preserve">The NEC facilitation work is already generating the policy language to make this case. The 2025 Pathways to Prosperity Prize is a proof point. The next step is connecting the community-level experience (what people actually need during the interim) to the specific bill language and agency redesign that would fund and staff the bridge at scale in Illinois.</w:t>
            </w:r>
          </w:p>
        </w:tc>
      </w:tr>
    </w:tbl>
    <w:p>
      <w:pPr>
        <w:spacing w:before="0" w:after="0"/>
      </w:pPr>
      <w:r>
        <w:rPr>
          <w:rFonts w:ascii="Arial" w:cs="Arial" w:eastAsia="Arial" w:hAnsi="Arial"/>
        </w:rPr>
        <w:t xml:space="preserve"/>
      </w:r>
    </w:p>
    <w:p>
      <w:pPr>
        <w:pStyle w:val="Heading2"/>
        <w:spacing w:before="280" w:after="80"/>
      </w:pPr>
      <w:r>
        <w:rPr>
          <w:rFonts w:ascii="Arial" w:cs="Arial" w:eastAsia="Arial" w:hAnsi="Arial"/>
          <w:b/>
          <w:bCs/>
          <w:color w:val="1E2D40"/>
          <w:sz w:val="26"/>
          <w:szCs w:val="26"/>
        </w:rPr>
        <w:t xml:space="preserve">What Federal Government Can Do</w:t>
      </w:r>
    </w:p>
    <w:p>
      <w:pPr>
        <w:pStyle w:val="ListParagraph"/>
        <w:numPr>
          <w:ilvl w:val="0"/>
          <w:numId w:val="2"/>
        </w:numPr>
        <w:spacing w:before="0" w:after="100"/>
      </w:pPr>
      <w:r>
        <w:rPr>
          <w:rFonts w:ascii="Arial" w:cs="Arial" w:eastAsia="Arial" w:hAnsi="Arial"/>
          <w:color w:val="1A1A2E"/>
          <w:sz w:val="22"/>
          <w:szCs w:val="22"/>
        </w:rPr>
        <w:t xml:space="preserve">Reform WIOA to explicitly fund coordination infrastructure and allow funds to be used for living stipends during training.</w:t>
      </w:r>
    </w:p>
    <w:p>
      <w:pPr>
        <w:pStyle w:val="ListParagraph"/>
        <w:numPr>
          <w:ilvl w:val="0"/>
          <w:numId w:val="2"/>
        </w:numPr>
        <w:spacing w:before="0" w:after="100"/>
      </w:pPr>
      <w:r>
        <w:rPr>
          <w:rFonts w:ascii="Arial" w:cs="Arial" w:eastAsia="Arial" w:hAnsi="Arial"/>
          <w:color w:val="1A1A2E"/>
          <w:sz w:val="22"/>
          <w:szCs w:val="22"/>
        </w:rPr>
        <w:t xml:space="preserve">Invest in the labor-intensive services (childcare, elder care, mental health) that Baumol’s cost disease makes permanently unaffordable without public subsidy — not as charity, but as economic infrastructure.</w:t>
      </w:r>
    </w:p>
    <w:p>
      <w:pPr>
        <w:pStyle w:val="ListParagraph"/>
        <w:numPr>
          <w:ilvl w:val="0"/>
          <w:numId w:val="2"/>
        </w:numPr>
        <w:spacing w:before="0" w:after="100"/>
      </w:pPr>
      <w:r>
        <w:rPr>
          <w:rFonts w:ascii="Arial" w:cs="Arial" w:eastAsia="Arial" w:hAnsi="Arial"/>
          <w:color w:val="1A1A2E"/>
          <w:sz w:val="22"/>
          <w:szCs w:val="22"/>
        </w:rPr>
        <w:t xml:space="preserve">Fund longitudinal evaluation of coordinated strategies so that evidence builds for what the bridge actually requires.</w:t>
      </w:r>
    </w:p>
    <w:p>
      <w:pPr>
        <w:pStyle w:val="ListParagraph"/>
        <w:numPr>
          <w:ilvl w:val="0"/>
          <w:numId w:val="2"/>
        </w:numPr>
        <w:spacing w:before="0" w:after="100"/>
      </w:pPr>
      <w:r>
        <w:rPr>
          <w:rFonts w:ascii="Arial" w:cs="Arial" w:eastAsia="Arial" w:hAnsi="Arial"/>
          <w:color w:val="1A1A2E"/>
          <w:sz w:val="22"/>
          <w:szCs w:val="22"/>
        </w:rPr>
        <w:t xml:space="preserve">Enforce benefit cliff reform across federal programs: SNAP, Medicaid, housing vouchers, and childcare subsidies should have coordinated, graduated phase-outs.</w:t>
      </w:r>
    </w:p>
    <w:p>
      <w:pPr>
        <w:spacing w:before="0" w:after="0"/>
      </w:pPr>
      <w:r>
        <w:rPr>
          <w:rFonts w:ascii="Arial" w:cs="Arial" w:eastAsia="Arial" w:hAnsi="Arial"/>
        </w:rPr>
        <w:t xml:space="preserve"/>
      </w:r>
    </w:p>
    <w:p>
      <w:pPr>
        <w:pStyle w:val="Heading1"/>
        <w:pBdr>
          <w:bottom w:val="single" w:color="2D6A4F" w:sz="4" w:space="6"/>
        </w:pBdr>
        <w:spacing w:before="320" w:after="120"/>
      </w:pPr>
      <w:r>
        <w:rPr>
          <w:rFonts w:ascii="Arial" w:cs="Arial" w:eastAsia="Arial" w:hAnsi="Arial"/>
          <w:b/>
          <w:bCs/>
          <w:color w:val="1E2D40"/>
          <w:sz w:val="36"/>
          <w:szCs w:val="36"/>
        </w:rPr>
        <w:t xml:space="preserve">The Implementation Gap: What Needs to Be Built</w:t>
      </w:r>
    </w:p>
    <w:p>
      <w:pPr>
        <w:spacing w:before="0" w:after="140"/>
      </w:pPr>
      <w:r>
        <w:rPr>
          <w:rFonts w:ascii="Arial" w:cs="Arial" w:eastAsia="Arial" w:hAnsi="Arial"/>
          <w:color w:val="1A1A2E"/>
          <w:sz w:val="22"/>
          <w:szCs w:val="22"/>
        </w:rPr>
        <w:t xml:space="preserve">The hardest question is not whether the bridge is the right design. It is how to fund and staff it in the real world, right now, before the policy changes exist. Three specific things need to be built.</w:t>
      </w:r>
    </w:p>
    <w:p>
      <w:pPr>
        <w:spacing w:before="0" w:after="0"/>
      </w:pPr>
      <w:r>
        <w:rPr>
          <w:rFonts w:ascii="Arial" w:cs="Arial" w:eastAsia="Arial" w:hAnsi="Arial"/>
        </w:rPr>
        <w:t xml:space="preserve"/>
      </w:r>
    </w:p>
    <w:tbl>
      <w:tblPr>
        <w:tblW w:type="dxa" w:w="9360"/>
        <w:tblBorders>
          <w:top w:val="none" w:color="FFFFFF" w:sz="0"/>
          <w:left w:val="none" w:color="FFFFFF" w:sz="0"/>
          <w:bottom w:val="none" w:color="FFFFFF" w:sz="0"/>
          <w:right w:val="none" w:color="FFFFFF" w:sz="0"/>
          <w:insideH w:val="single" w:color="auto" w:sz="4"/>
          <w:insideV w:val="single" w:color="auto" w:sz="4"/>
        </w:tblBorders>
      </w:tblPr>
      <w:tblGrid>
        <w:gridCol w:w="400"/>
        <w:gridCol w:w="8960"/>
      </w:tblGrid>
      <w:tr>
        <w:tc>
          <w:tcPr>
            <w:tcW w:type="dxa" w:w="400"/>
            <w:tcBorders>
              <w:top w:val="none" w:color="FFFFFF" w:sz="0"/>
              <w:left w:val="none" w:color="FFFFFF" w:sz="0"/>
              <w:bottom w:val="none" w:color="FFFFFF" w:sz="0"/>
              <w:right w:val="none" w:color="FFFFFF" w:sz="0"/>
            </w:tcBorders>
            <w:shd w:fill="1E2D40" w:val="clear"/>
            <w:tcMar>
              <w:top w:type="dxa" w:w="160"/>
              <w:left w:type="dxa" w:w="120"/>
              <w:bottom w:type="dxa" w:w="160"/>
              <w:right w:type="dxa" w:w="0"/>
            </w:tcMar>
            <w:vAlign w:val="top"/>
          </w:tcPr>
          <w:p>
            <w:pPr>
              <w:spacing w:before="0" w:after="0"/>
            </w:pPr>
            <w:r>
              <w:rPr>
                <w:rFonts w:ascii="Arial" w:cs="Arial" w:eastAsia="Arial" w:hAnsi="Arial"/>
                <w:b/>
                <w:bCs/>
                <w:color w:val="FFFFFF"/>
                <w:sz w:val="32"/>
                <w:szCs w:val="32"/>
              </w:rPr>
              <w:t xml:space="preserve">01</w:t>
            </w:r>
          </w:p>
        </w:tc>
        <w:tc>
          <w:tcPr>
            <w:tcW w:type="dxa" w:w="8960"/>
            <w:tcBorders>
              <w:top w:val="none" w:color="FFFFFF" w:sz="0"/>
              <w:left w:val="none" w:color="FFFFFF" w:sz="0"/>
              <w:bottom w:val="single" w:color="E8EAEF" w:sz="1"/>
              <w:right w:val="none" w:color="FFFFFF" w:sz="0"/>
            </w:tcBorders>
            <w:shd w:fill="F7F8FA" w:val="clear"/>
            <w:tcMar>
              <w:top w:type="dxa" w:w="160"/>
              <w:left w:type="dxa" w:w="200"/>
              <w:bottom w:type="dxa" w:w="160"/>
              <w:right w:type="dxa" w:w="120"/>
            </w:tcMar>
          </w:tcPr>
          <w:p>
            <w:pPr>
              <w:spacing w:before="0" w:after="60"/>
            </w:pPr>
            <w:r>
              <w:rPr>
                <w:rFonts w:ascii="Arial" w:cs="Arial" w:eastAsia="Arial" w:hAnsi="Arial"/>
                <w:b/>
                <w:bCs/>
                <w:color w:val="1E2D40"/>
                <w:sz w:val="23"/>
                <w:szCs w:val="23"/>
              </w:rPr>
              <w:t xml:space="preserve">The Financial Crisis Literacy Resource</w:t>
            </w:r>
          </w:p>
          <w:p>
            <w:pPr>
              <w:spacing w:before="0" w:after="0"/>
            </w:pPr>
            <w:r>
              <w:rPr>
                <w:rFonts w:ascii="Arial" w:cs="Arial" w:eastAsia="Arial" w:hAnsi="Arial"/>
                <w:color w:val="1A1A2E"/>
                <w:sz w:val="21"/>
                <w:szCs w:val="21"/>
              </w:rPr>
              <w:t xml:space="preserve">A community-accessible guide to navigating active financial crisis — IRS debt, invoice gaps, bills that exceed income, benefit cliffs. Not a budgeting app. Not a savings program. A practical, shame-free resource for people who are already past the point where standard advice applies. This does not currently exist in a form that community organizations can use.</w:t>
            </w:r>
          </w:p>
        </w:tc>
      </w:tr>
      <w:tr>
        <w:tc>
          <w:tcPr>
            <w:tcW w:type="dxa" w:w="400"/>
            <w:tcBorders>
              <w:top w:val="none" w:color="FFFFFF" w:sz="0"/>
              <w:left w:val="none" w:color="FFFFFF" w:sz="0"/>
              <w:bottom w:val="none" w:color="FFFFFF" w:sz="0"/>
              <w:right w:val="none" w:color="FFFFFF" w:sz="0"/>
            </w:tcBorders>
            <w:shd w:fill="2D6A4F" w:val="clear"/>
            <w:tcMar>
              <w:top w:type="dxa" w:w="160"/>
              <w:left w:type="dxa" w:w="120"/>
              <w:bottom w:type="dxa" w:w="160"/>
              <w:right w:type="dxa" w:w="0"/>
            </w:tcMar>
            <w:vAlign w:val="top"/>
          </w:tcPr>
          <w:p>
            <w:pPr>
              <w:spacing w:before="0" w:after="0"/>
            </w:pPr>
            <w:r>
              <w:rPr>
                <w:rFonts w:ascii="Arial" w:cs="Arial" w:eastAsia="Arial" w:hAnsi="Arial"/>
                <w:b/>
                <w:bCs/>
                <w:color w:val="FFFFFF"/>
                <w:sz w:val="32"/>
                <w:szCs w:val="32"/>
              </w:rPr>
              <w:t xml:space="preserve">02</w:t>
            </w:r>
          </w:p>
        </w:tc>
        <w:tc>
          <w:tcPr>
            <w:tcW w:type="dxa" w:w="8960"/>
            <w:tcBorders>
              <w:top w:val="none" w:color="FFFFFF" w:sz="0"/>
              <w:left w:val="none" w:color="FFFFFF" w:sz="0"/>
              <w:bottom w:val="single" w:color="E8EAEF" w:sz="1"/>
              <w:right w:val="none" w:color="FFFFFF" w:sz="0"/>
            </w:tcBorders>
            <w:shd w:fill="F7F8FA" w:val="clear"/>
            <w:tcMar>
              <w:top w:type="dxa" w:w="160"/>
              <w:left w:type="dxa" w:w="200"/>
              <w:bottom w:type="dxa" w:w="160"/>
              <w:right w:type="dxa" w:w="120"/>
            </w:tcMar>
          </w:tcPr>
          <w:p>
            <w:pPr>
              <w:spacing w:before="0" w:after="60"/>
            </w:pPr>
            <w:r>
              <w:rPr>
                <w:rFonts w:ascii="Arial" w:cs="Arial" w:eastAsia="Arial" w:hAnsi="Arial"/>
                <w:b/>
                <w:bCs/>
                <w:color w:val="2D6A4F"/>
                <w:sz w:val="23"/>
                <w:szCs w:val="23"/>
              </w:rPr>
              <w:t xml:space="preserve">The Coordination Infrastructure</w:t>
            </w:r>
          </w:p>
          <w:p>
            <w:pPr>
              <w:spacing w:before="0" w:after="0"/>
            </w:pPr>
            <w:r>
              <w:rPr>
                <w:rFonts w:ascii="Arial" w:cs="Arial" w:eastAsia="Arial" w:hAnsi="Arial"/>
                <w:color w:val="1A1A2E"/>
                <w:sz w:val="21"/>
                <w:szCs w:val="21"/>
              </w:rPr>
              <w:t xml:space="preserve">A staffed, funded navigator role that holds the whole picture for individuals moving through transition. Could live inside an existing organization, could be a standalone practice, could be a cohort-based model. The key requirement: one person who knows all the programs, all the eligibility thresholds, and whose job is to sequence them in the right order for this specific person.</w:t>
            </w:r>
          </w:p>
        </w:tc>
      </w:tr>
      <w:tr>
        <w:tc>
          <w:tcPr>
            <w:tcW w:type="dxa" w:w="400"/>
            <w:tcBorders>
              <w:top w:val="none" w:color="FFFFFF" w:sz="0"/>
              <w:left w:val="none" w:color="FFFFFF" w:sz="0"/>
              <w:bottom w:val="none" w:color="FFFFFF" w:sz="0"/>
              <w:right w:val="none" w:color="FFFFFF" w:sz="0"/>
            </w:tcBorders>
            <w:shd w:fill="8B5A2B" w:val="clear"/>
            <w:tcMar>
              <w:top w:type="dxa" w:w="160"/>
              <w:left w:type="dxa" w:w="120"/>
              <w:bottom w:type="dxa" w:w="160"/>
              <w:right w:type="dxa" w:w="0"/>
            </w:tcMar>
            <w:vAlign w:val="top"/>
          </w:tcPr>
          <w:p>
            <w:pPr>
              <w:spacing w:before="0" w:after="0"/>
            </w:pPr>
            <w:r>
              <w:rPr>
                <w:rFonts w:ascii="Arial" w:cs="Arial" w:eastAsia="Arial" w:hAnsi="Arial"/>
                <w:b/>
                <w:bCs/>
                <w:color w:val="FFFFFF"/>
                <w:sz w:val="32"/>
                <w:szCs w:val="32"/>
              </w:rPr>
              <w:t xml:space="preserve">03</w:t>
            </w:r>
          </w:p>
        </w:tc>
        <w:tc>
          <w:tcPr>
            <w:tcW w:type="dxa" w:w="8960"/>
            <w:tcBorders>
              <w:top w:val="none" w:color="FFFFFF" w:sz="0"/>
              <w:left w:val="none" w:color="FFFFFF" w:sz="0"/>
              <w:bottom w:val="single" w:color="E8EAEF" w:sz="1"/>
              <w:right w:val="none" w:color="FFFFFF" w:sz="0"/>
            </w:tcBorders>
            <w:shd w:fill="F7F8FA" w:val="clear"/>
            <w:tcMar>
              <w:top w:type="dxa" w:w="160"/>
              <w:left w:type="dxa" w:w="200"/>
              <w:bottom w:type="dxa" w:w="160"/>
              <w:right w:type="dxa" w:w="120"/>
            </w:tcMar>
          </w:tcPr>
          <w:p>
            <w:pPr>
              <w:spacing w:before="0" w:after="60"/>
            </w:pPr>
            <w:r>
              <w:rPr>
                <w:rFonts w:ascii="Arial" w:cs="Arial" w:eastAsia="Arial" w:hAnsi="Arial"/>
                <w:b/>
                <w:bCs/>
                <w:color w:val="8B5A2B"/>
                <w:sz w:val="23"/>
                <w:szCs w:val="23"/>
              </w:rPr>
              <w:t xml:space="preserve">The Bridge Income Model</w:t>
            </w:r>
          </w:p>
          <w:p>
            <w:pPr>
              <w:spacing w:before="0" w:after="0"/>
            </w:pPr>
            <w:r>
              <w:rPr>
                <w:rFonts w:ascii="Arial" w:cs="Arial" w:eastAsia="Arial" w:hAnsi="Arial"/>
                <w:color w:val="1A1A2E"/>
                <w:sz w:val="21"/>
                <w:szCs w:val="21"/>
              </w:rPr>
              <w:t xml:space="preserve">A funding mechanism that covers real living costs during the transition period — not a small stipend, but enough to actually hold someone. Could be a fellowship model (as demonstrated by Pixels for Humans), a guaranteed income pilot, a cohort-based training stipend, or a public-private partnership. The key requirement: covers the actual cost of the interim, not a symbolic amount.</w:t>
            </w:r>
          </w:p>
        </w:tc>
      </w:tr>
    </w:tbl>
    <w:p>
      <w:pPr>
        <w:spacing w:before="0" w:after="0"/>
      </w:pPr>
      <w:r>
        <w:rPr>
          <w:rFonts w:ascii="Arial" w:cs="Arial" w:eastAsia="Arial" w:hAnsi="Arial"/>
        </w:rPr>
        <w:t xml:space="preserve"/>
      </w:r>
    </w:p>
    <w:p>
      <w:pPr>
        <w:pStyle w:val="Heading1"/>
        <w:pBdr>
          <w:bottom w:val="single" w:color="2D6A4F" w:sz="4" w:space="6"/>
        </w:pBdr>
        <w:spacing w:before="320" w:after="120"/>
      </w:pPr>
      <w:r>
        <w:rPr>
          <w:rFonts w:ascii="Arial" w:cs="Arial" w:eastAsia="Arial" w:hAnsi="Arial"/>
          <w:b/>
          <w:bCs/>
          <w:color w:val="1E2D40"/>
          <w:sz w:val="36"/>
          <w:szCs w:val="36"/>
        </w:rPr>
        <w:t xml:space="preserve">What This Means for CfPS and Sources May Vary</w:t>
      </w:r>
    </w:p>
    <w:p>
      <w:pPr>
        <w:spacing w:before="0" w:after="0"/>
      </w:pPr>
      <w:r>
        <w:rPr>
          <w:rFonts w:ascii="Arial" w:cs="Arial" w:eastAsia="Arial" w:hAnsi="Arial"/>
        </w:rPr>
        <w:t xml:space="preserve"/>
      </w:r>
    </w:p>
    <w:tbl>
      <w:tblPr>
        <w:tblW w:type="dxa" w:w="9360"/>
        <w:tblBorders>
          <w:top w:val="none" w:color="FFFFFF" w:sz="0"/>
          <w:left w:val="none" w:color="FFFFFF" w:sz="0"/>
          <w:bottom w:val="none" w:color="FFFFFF" w:sz="0"/>
          <w:right w:val="none" w:color="FFFFFF" w:sz="0"/>
          <w:insideH w:val="single" w:color="auto" w:sz="4"/>
          <w:insideV w:val="single" w:color="auto" w:sz="4"/>
        </w:tblBorders>
      </w:tblPr>
      <w:tblGrid>
        <w:gridCol w:w="4560"/>
        <w:gridCol w:w="240"/>
        <w:gridCol w:w="4560"/>
      </w:tblGrid>
      <w:tr>
        <w:tc>
          <w:tcPr>
            <w:tcW w:type="dxa" w:w="4560"/>
            <w:tcBorders>
              <w:top w:val="none" w:color="FFFFFF" w:sz="0"/>
              <w:left w:val="none" w:color="FFFFFF" w:sz="0"/>
              <w:bottom w:val="none" w:color="FFFFFF" w:sz="0"/>
              <w:right w:val="none" w:color="FFFFFF" w:sz="0"/>
            </w:tcBorders>
            <w:tcMar>
              <w:top w:type="dxa" w:w="80"/>
              <w:left w:type="dxa" w:w="0"/>
              <w:bottom w:type="dxa" w:w="80"/>
              <w:right w:type="dxa" w:w="80"/>
            </w:tcMar>
          </w:tcPr>
          <w:p>
            <w:pPr>
              <w:spacing w:before="200" w:after="60"/>
            </w:pPr>
            <w:r>
              <w:rPr>
                <w:rFonts w:ascii="Arial" w:cs="Arial" w:eastAsia="Arial" w:hAnsi="Arial"/>
                <w:b/>
                <w:bCs/>
                <w:color w:val="2D6A4F"/>
                <w:sz w:val="22"/>
                <w:szCs w:val="22"/>
              </w:rPr>
              <w:t xml:space="preserve">For CfPS / NEC Work</w:t>
            </w:r>
          </w:p>
          <w:p>
            <w:pPr>
              <w:spacing w:before="0" w:after="140"/>
            </w:pPr>
            <w:r>
              <w:rPr>
                <w:rFonts w:ascii="Arial" w:cs="Arial" w:eastAsia="Arial" w:hAnsi="Arial"/>
                <w:color w:val="1A1A2E"/>
                <w:sz w:val="22"/>
                <w:szCs w:val="22"/>
              </w:rPr>
              <w:t xml:space="preserve">The NEC grantees are serving people who need the bridge — right now, during the period between the policy conversations and the policy changes. The facilitation work can incorporate the bridge framework as a diagnostic: what do the people you serve actually need during the interim? What is the one-off program they’re falling through? Connecting the lived experience of community members to specific policy asks (benefit cliff reform, bridge income, funded coordination) makes the work more actionable for legislators.</w:t>
            </w:r>
          </w:p>
        </w:tc>
        <w:tc>
          <w:tcPr>
            <w:tcW w:type="dxa" w:w="240"/>
            <w:tcBorders>
              <w:top w:val="none" w:color="FFFFFF" w:sz="0"/>
              <w:left w:val="none" w:color="FFFFFF" w:sz="0"/>
              <w:bottom w:val="none" w:color="FFFFFF" w:sz="0"/>
              <w:right w:val="none" w:color="FFFFFF" w:sz="0"/>
            </w:tcBorders>
          </w:tcPr>
          <w:p>
            <w:r>
              <w:rPr>
                <w:rFonts w:ascii="Arial" w:cs="Arial" w:eastAsia="Arial" w:hAnsi="Arial"/>
              </w:rPr>
              <w:t xml:space="preserve"/>
            </w:r>
          </w:p>
        </w:tc>
        <w:tc>
          <w:tcPr>
            <w:tcW w:type="dxa" w:w="4560"/>
            <w:tcBorders>
              <w:top w:val="none" w:color="FFFFFF" w:sz="0"/>
              <w:left w:val="none" w:color="FFFFFF" w:sz="0"/>
              <w:bottom w:val="none" w:color="FFFFFF" w:sz="0"/>
              <w:right w:val="none" w:color="FFFFFF" w:sz="0"/>
            </w:tcBorders>
            <w:tcMar>
              <w:top w:type="dxa" w:w="80"/>
              <w:left w:type="dxa" w:w="80"/>
              <w:bottom w:type="dxa" w:w="80"/>
              <w:right w:type="dxa" w:w="0"/>
            </w:tcMar>
          </w:tcPr>
          <w:p>
            <w:pPr>
              <w:spacing w:before="200" w:after="60"/>
            </w:pPr>
            <w:r>
              <w:rPr>
                <w:rFonts w:ascii="Arial" w:cs="Arial" w:eastAsia="Arial" w:hAnsi="Arial"/>
                <w:b/>
                <w:bCs/>
                <w:color w:val="1E3A5F"/>
                <w:sz w:val="22"/>
                <w:szCs w:val="22"/>
              </w:rPr>
              <w:t xml:space="preserve">For Sources May Vary</w:t>
            </w:r>
          </w:p>
          <w:p>
            <w:pPr>
              <w:spacing w:before="0" w:after="140"/>
            </w:pPr>
            <w:r>
              <w:rPr>
                <w:rFonts w:ascii="Arial" w:cs="Arial" w:eastAsia="Arial" w:hAnsi="Arial"/>
                <w:color w:val="1A1A2E"/>
                <w:sz w:val="22"/>
                <w:szCs w:val="22"/>
              </w:rPr>
              <w:t xml:space="preserve">The coordinated strategy is the product. SMV’s value is not any single program — it is the architecture that makes programs work together. The Bridge Framework is a concrete articulation of that architecture that can be used in proposals, in rooms with foundations, and in policy spaces. It is also a service offering: helping organizations design their piece of the bridge in coordination with the other pieces, rather than in isolation.</w:t>
            </w:r>
          </w:p>
        </w:tc>
      </w:tr>
    </w:tbl>
    <w:p>
      <w:pPr>
        <w:spacing w:before="0" w:after="0"/>
      </w:pPr>
      <w:r>
        <w:rPr>
          <w:rFonts w:ascii="Arial" w:cs="Arial" w:eastAsia="Arial" w:hAnsi="Arial"/>
        </w:rPr>
        <w:t xml:space="preserve"/>
      </w:r>
    </w:p>
    <w:tbl>
      <w:tblPr>
        <w:tblW w:type="dxa" w:w="9360"/>
        <w:tblBorders>
          <w:top w:val="none" w:color="FFFFFF" w:sz="0"/>
          <w:left w:val="none" w:color="FFFFFF" w:sz="0"/>
          <w:bottom w:val="none" w:color="FFFFFF" w:sz="0"/>
          <w:right w:val="none" w:color="FFFFFF" w:sz="0"/>
          <w:insideH w:val="single" w:color="auto" w:sz="4"/>
          <w:insideV w:val="single" w:color="auto" w:sz="4"/>
        </w:tblBorders>
      </w:tblPr>
      <w:tblGrid>
        <w:gridCol w:w="280"/>
        <w:gridCol w:w="9080"/>
      </w:tblGrid>
      <w:tr>
        <w:tc>
          <w:tcPr>
            <w:tcW w:type="dxa" w:w="280"/>
            <w:tcBorders>
              <w:top w:val="none" w:color="FFFFFF" w:sz="0"/>
              <w:left w:val="none" w:color="FFFFFF" w:sz="0"/>
              <w:bottom w:val="none" w:color="FFFFFF" w:sz="0"/>
              <w:right w:val="none" w:color="FFFFFF" w:sz="0"/>
            </w:tcBorders>
            <w:shd w:fill="2D6A4F" w:val="clear"/>
            <w:tcMar>
              <w:top w:type="dxa" w:w="120"/>
              <w:left w:type="dxa" w:w="0"/>
              <w:bottom w:type="dxa" w:w="120"/>
              <w:right w:type="dxa" w:w="0"/>
            </w:tcMar>
          </w:tcPr>
          <w:p>
            <w:r>
              <w:rPr>
                <w:rFonts w:ascii="Arial" w:cs="Arial" w:eastAsia="Arial" w:hAnsi="Arial"/>
                <w:sz w:val="20"/>
                <w:szCs w:val="20"/>
              </w:rPr>
              <w:t xml:space="preserve"/>
            </w:r>
          </w:p>
        </w:tc>
        <w:tc>
          <w:tcPr>
            <w:tcW w:type="dxa" w:w="9080"/>
            <w:tcBorders>
              <w:top w:val="none" w:color="FFFFFF" w:sz="0"/>
              <w:left w:val="none" w:color="FFFFFF" w:sz="0"/>
              <w:bottom w:val="none" w:color="FFFFFF" w:sz="0"/>
              <w:right w:val="none" w:color="FFFFFF" w:sz="0"/>
            </w:tcBorders>
            <w:shd w:fill="EAF5EE" w:val="clear"/>
            <w:tcMar>
              <w:top w:type="dxa" w:w="160"/>
              <w:left w:type="dxa" w:w="200"/>
              <w:bottom w:type="dxa" w:w="160"/>
              <w:right w:type="dxa" w:w="200"/>
            </w:tcMar>
          </w:tcPr>
          <w:p>
            <w:pPr>
              <w:spacing w:before="0" w:after="80"/>
            </w:pPr>
            <w:r>
              <w:rPr>
                <w:rFonts w:ascii="Arial" w:cs="Arial" w:eastAsia="Arial" w:hAnsi="Arial"/>
                <w:b/>
                <w:bCs/>
                <w:color w:val="2D6A4F"/>
                <w:sz w:val="20"/>
                <w:szCs w:val="20"/>
              </w:rPr>
              <w:t xml:space="preserve">The Lived Experience Advantage</w:t>
            </w:r>
          </w:p>
          <w:p>
            <w:pPr>
              <w:spacing w:before="0" w:after="0"/>
            </w:pPr>
            <w:r>
              <w:rPr>
                <w:rFonts w:ascii="Arial" w:cs="Arial" w:eastAsia="Arial" w:hAnsi="Arial"/>
                <w:color w:val="1A1A2E"/>
                <w:sz w:val="21"/>
                <w:szCs w:val="21"/>
              </w:rPr>
              <w:t xml:space="preserve">This framework was built from the inside. The person who designed it has navigated every layer of the bridge — the outer, the inner, and the absence of coordination. That is not a liability in policy and consulting spaces. It is the most credible possible source of insight into what actually needs to be built.</w:t>
            </w:r>
          </w:p>
        </w:tc>
      </w:tr>
    </w:tbl>
    <w:p>
      <w:pPr>
        <w:spacing w:before="0" w:after="0"/>
      </w:pPr>
      <w:r>
        <w:rPr>
          <w:rFonts w:ascii="Arial" w:cs="Arial" w:eastAsia="Arial" w:hAnsi="Arial"/>
        </w:rPr>
        <w:t xml:space="preserve"/>
      </w:r>
    </w:p>
    <w:p>
      <w:pPr>
        <w:pBdr>
          <w:bottom w:val="single" w:color="1E2D40" w:sz="2" w:space="1"/>
        </w:pBdr>
        <w:spacing w:before="160" w:after="160"/>
      </w:pPr>
      <w:r>
        <w:rPr>
          <w:rFonts w:ascii="Arial" w:cs="Arial" w:eastAsia="Arial" w:hAnsi="Arial"/>
        </w:rPr>
        <w:t xml:space="preserve"/>
      </w:r>
    </w:p>
    <w:p>
      <w:pPr>
        <w:spacing w:before="120" w:after="0"/>
        <w:jc w:val="center"/>
      </w:pPr>
      <w:r>
        <w:rPr>
          <w:rFonts w:ascii="Arial" w:cs="Arial" w:eastAsia="Arial" w:hAnsi="Arial"/>
          <w:i/>
          <w:iCs/>
          <w:color w:val="555555"/>
          <w:sz w:val="20"/>
          <w:szCs w:val="20"/>
        </w:rPr>
        <w:t xml:space="preserve">This document is a working draft. </w:t>
      </w:r>
      <w:r>
        <w:rPr>
          <w:rFonts w:ascii="Arial" w:cs="Arial" w:eastAsia="Arial" w:hAnsi="Arial"/>
          <w:color w:val="2D6A4F"/>
          <w:sz w:val="20"/>
          <w:szCs w:val="20"/>
        </w:rPr>
        <w:t xml:space="preserve">ehi@sourcesmayvary.com</w:t>
      </w:r>
      <w:r>
        <w:rPr>
          <w:rFonts w:ascii="Arial" w:cs="Arial" w:eastAsia="Arial" w:hAnsi="Arial"/>
          <w:color w:val="555555"/>
          <w:sz w:val="20"/>
          <w:szCs w:val="20"/>
        </w:rPr>
        <w:t xml:space="preserve">  ·  sourcesmayvary.com</w:t>
      </w:r>
    </w:p>
    <w:sectPr>
      <w:headerReference w:type="default" r:id="rId6"/>
      <w:footerReference w:type="default" r:id="rId7"/>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E8EAEF" w:sz="2" w:space="4"/>
      </w:pBdr>
      <w:spacing w:before="0" w:after="0"/>
      <w:jc w:val="center"/>
    </w:pPr>
    <w:r>
      <w:rPr>
        <w:rFonts w:ascii="Arial" w:cs="Arial" w:eastAsia="Arial" w:hAnsi="Arial"/>
        <w:color w:val="555555"/>
        <w:sz w:val="17"/>
        <w:szCs w:val="17"/>
      </w:rPr>
      <w:t xml:space="preserve">Draft — March 2026   ·   </w:t>
    </w:r>
    <w:r>
      <w:rPr>
        <w:rFonts w:ascii="Arial" w:cs="Arial" w:eastAsia="Arial" w:hAnsi="Arial"/>
        <w:color w:val="555555"/>
        <w:sz w:val="17"/>
        <w:szCs w:val="17"/>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2D6A4F" w:sz="3" w:space="4"/>
      </w:pBdr>
      <w:spacing w:before="0" w:after="0"/>
    </w:pPr>
    <w:r>
      <w:rPr>
        <w:rFonts w:ascii="Arial" w:cs="Arial" w:eastAsia="Arial" w:hAnsi="Arial"/>
        <w:b/>
        <w:bCs/>
        <w:color w:val="1E2D40"/>
        <w:sz w:val="18"/>
        <w:szCs w:val="18"/>
      </w:rPr>
      <w:t xml:space="preserve">The Bridge Framework</w:t>
    </w:r>
    <w:r>
      <w:rPr>
        <w:rFonts w:ascii="Arial" w:cs="Arial" w:eastAsia="Arial" w:hAnsi="Arial"/>
        <w:color w:val="555555"/>
        <w:sz w:val="18"/>
        <w:szCs w:val="18"/>
      </w:rPr>
      <w:t xml:space="preserve">   |   Sources May Vary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60" w:hanging="280"/>
      </w:pPr>
    </w:lvl>
    <w:lvl w:ilvl="1" w15:tentative="1">
      <w:start w:val="1"/>
      <w:numFmt w:val="bullet"/>
      <w:lvlText w:val="◦"/>
      <w:lvlJc w:val="left"/>
      <w:pPr>
        <w:ind w:left="1000" w:hanging="28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320" w:after="120"/>
      <w:outlineLvl w:val="0"/>
    </w:pPr>
    <w:rPr>
      <w:rFonts w:ascii="Arial" w:cs="Arial" w:eastAsia="Arial" w:hAnsi="Arial"/>
      <w:b/>
      <w:bCs/>
      <w:color w:val="1E2D40"/>
      <w:sz w:val="36"/>
      <w:szCs w:val="36"/>
    </w:rPr>
  </w:style>
  <w:style w:type="paragraph" w:styleId="Heading2">
    <w:name w:val="Heading 2"/>
    <w:basedOn w:val="Normal"/>
    <w:next w:val="Normal"/>
    <w:qFormat/>
    <w:pPr>
      <w:spacing w:before="280" w:after="80"/>
      <w:outlineLvl w:val="1"/>
    </w:pPr>
    <w:rPr>
      <w:rFonts w:ascii="Arial" w:cs="Arial" w:eastAsia="Arial" w:hAnsi="Arial"/>
      <w:b/>
      <w:bCs/>
      <w:color w:val="1E2D40"/>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2026-03-17T20:32:55.498Z</dcterms:created>
  <dcterms:modified xsi:type="dcterms:W3CDTF">2026-03-17T20:32:55.501Z</dcterms:modified>
</cp:coreProperties>
</file>

<file path=docProps/custom.xml><?xml version="1.0" encoding="utf-8"?>
<Properties xmlns="http://schemas.openxmlformats.org/officeDocument/2006/custom-properties" xmlns:vt="http://schemas.openxmlformats.org/officeDocument/2006/docPropsVTypes"/>
</file>