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D6A4F" w:val="clear"/>
            <w:tcMar>
              <w:top w:type="dxa" w:w="400"/>
              <w:left w:type="dxa" w:w="480"/>
              <w:bottom w:type="dxa" w:w="400"/>
              <w:right w:type="dxa" w:w="480"/>
            </w:tcMar>
          </w:tcPr>
          <w:p>
            <w:pPr>
              <w:spacing w:before="0" w:after="120"/>
            </w:pPr>
            <w:r>
              <w:rPr>
                <w:rFonts w:ascii="Arial" w:cs="Arial" w:eastAsia="Arial" w:hAnsi="Arial"/>
                <w:b/>
                <w:bCs/>
                <w:caps/>
                <w:color w:val="95D5B2"/>
                <w:sz w:val="18"/>
                <w:szCs w:val="18"/>
              </w:rPr>
              <w:t xml:space="preserve">CASE STUDY</w:t>
            </w:r>
          </w:p>
          <w:p>
            <w:pPr>
              <w:spacing w:before="0" w:after="160"/>
            </w:pPr>
            <w:r>
              <w:rPr>
                <w:rFonts w:ascii="Arial" w:cs="Arial" w:eastAsia="Arial" w:hAnsi="Arial"/>
                <w:b/>
                <w:bCs/>
                <w:color w:val="FFFFFF"/>
                <w:sz w:val="48"/>
                <w:szCs w:val="48"/>
              </w:rPr>
              <w:t xml:space="preserve">When Community Voice Becomes Policy</w:t>
            </w:r>
          </w:p>
          <w:p>
            <w:pPr>
              <w:spacing w:before="0" w:after="0"/>
            </w:pPr>
            <w:r>
              <w:rPr>
                <w:rFonts w:ascii="Arial" w:cs="Arial" w:eastAsia="Arial" w:hAnsi="Arial"/>
                <w:i/>
                <w:iCs/>
                <w:color w:val="95D5B2"/>
                <w:sz w:val="22"/>
                <w:szCs w:val="22"/>
              </w:rPr>
              <w:t xml:space="preserve">How a structured facilitation methodology bridged the gap between lived experience and legislative action — contributing to a nationally award-winning civic initiative.</w:t>
            </w:r>
          </w:p>
        </w:tc>
      </w:tr>
    </w:tbl>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1"/>
              <w:left w:val="single" w:color="CCCCCC" w:sz="1"/>
              <w:bottom w:val="single" w:color="CCCCCC" w:sz="1"/>
              <w:right w:val="single" w:color="CCCCCC" w:sz="1"/>
            </w:tcBorders>
            <w:shd w:fill="D8F3DC" w:val="clear"/>
            <w:tcMar>
              <w:top w:type="dxa" w:w="80"/>
              <w:left w:type="dxa" w:w="160"/>
              <w:bottom w:type="dxa" w:w="80"/>
              <w:right w:type="dxa" w:w="160"/>
            </w:tcMar>
          </w:tcPr>
          <w:p>
            <w:r>
              <w:rPr>
                <w:rFonts w:ascii="Arial" w:cs="Arial" w:eastAsia="Arial" w:hAnsi="Arial"/>
                <w:b/>
                <w:bCs/>
                <w:color w:val="2D6A4F"/>
                <w:sz w:val="18"/>
                <w:szCs w:val="18"/>
              </w:rPr>
              <w:t xml:space="preserve">Client</w:t>
            </w:r>
          </w:p>
        </w:tc>
        <w:tc>
          <w:tcPr>
            <w:tcW w:type="dxa" w:w="7160"/>
            <w:tcBorders>
              <w:top w:val="single" w:color="CCCCCC" w:sz="1"/>
              <w:left w:val="single" w:color="CCCCCC" w:sz="1"/>
              <w:bottom w:val="single" w:color="CCCCCC" w:sz="1"/>
              <w:right w:val="single" w:color="CCCCCC" w:sz="1"/>
            </w:tcBorders>
            <w:shd w:fill="F4F4F4" w:val="clear"/>
            <w:tcMar>
              <w:top w:type="dxa" w:w="80"/>
              <w:left w:type="dxa" w:w="160"/>
              <w:bottom w:type="dxa" w:w="80"/>
              <w:right w:type="dxa" w:w="160"/>
            </w:tcMar>
          </w:tcPr>
          <w:p>
            <w:r>
              <w:rPr>
                <w:rFonts w:ascii="Arial" w:cs="Arial" w:eastAsia="Arial" w:hAnsi="Arial"/>
                <w:color w:val="3D3D3D"/>
                <w:sz w:val="18"/>
                <w:szCs w:val="18"/>
              </w:rPr>
              <w:t xml:space="preserve">Illinois Policy Institute — Center for Poverty Solutions (CfPS)</w:t>
            </w:r>
          </w:p>
        </w:tc>
      </w:tr>
      <w:tr>
        <w:tc>
          <w:tcPr>
            <w:tcW w:type="dxa" w:w="2200"/>
            <w:tcBorders>
              <w:top w:val="single" w:color="CCCCCC" w:sz="1"/>
              <w:left w:val="single" w:color="CCCCCC" w:sz="1"/>
              <w:bottom w:val="single" w:color="CCCCCC" w:sz="1"/>
              <w:right w:val="single" w:color="CCCCCC" w:sz="1"/>
            </w:tcBorders>
            <w:shd w:fill="D8F3DC" w:val="clear"/>
            <w:tcMar>
              <w:top w:type="dxa" w:w="80"/>
              <w:left w:type="dxa" w:w="160"/>
              <w:bottom w:type="dxa" w:w="80"/>
              <w:right w:type="dxa" w:w="160"/>
            </w:tcMar>
          </w:tcPr>
          <w:p>
            <w:r>
              <w:rPr>
                <w:rFonts w:ascii="Arial" w:cs="Arial" w:eastAsia="Arial" w:hAnsi="Arial"/>
                <w:b/>
                <w:bCs/>
                <w:color w:val="2D6A4F"/>
                <w:sz w:val="18"/>
                <w:szCs w:val="18"/>
              </w:rPr>
              <w:t xml:space="preserve">Initiative</w:t>
            </w:r>
          </w:p>
        </w:tc>
        <w:tc>
          <w:tcPr>
            <w:tcW w:type="dxa" w:w="7160"/>
            <w:tcBorders>
              <w:top w:val="single" w:color="CCCCCC" w:sz="1"/>
              <w:left w:val="single" w:color="CCCCCC" w:sz="1"/>
              <w:bottom w:val="single" w:color="CCCCCC" w:sz="1"/>
              <w:right w:val="single" w:color="CCCCCC" w:sz="1"/>
            </w:tcBorders>
            <w:shd w:fill="F4F4F4" w:val="clear"/>
            <w:tcMar>
              <w:top w:type="dxa" w:w="80"/>
              <w:left w:type="dxa" w:w="160"/>
              <w:bottom w:type="dxa" w:w="80"/>
              <w:right w:type="dxa" w:w="160"/>
            </w:tcMar>
          </w:tcPr>
          <w:p>
            <w:r>
              <w:rPr>
                <w:rFonts w:ascii="Arial" w:cs="Arial" w:eastAsia="Arial" w:hAnsi="Arial"/>
                <w:color w:val="3D3D3D"/>
                <w:sz w:val="18"/>
                <w:szCs w:val="18"/>
              </w:rPr>
              <w:t xml:space="preserve">Neighborhood Employment Co-op (NEC)</w:t>
            </w:r>
          </w:p>
        </w:tc>
      </w:tr>
      <w:tr>
        <w:tc>
          <w:tcPr>
            <w:tcW w:type="dxa" w:w="2200"/>
            <w:tcBorders>
              <w:top w:val="single" w:color="CCCCCC" w:sz="1"/>
              <w:left w:val="single" w:color="CCCCCC" w:sz="1"/>
              <w:bottom w:val="single" w:color="CCCCCC" w:sz="1"/>
              <w:right w:val="single" w:color="CCCCCC" w:sz="1"/>
            </w:tcBorders>
            <w:shd w:fill="D8F3DC" w:val="clear"/>
            <w:tcMar>
              <w:top w:type="dxa" w:w="80"/>
              <w:left w:type="dxa" w:w="160"/>
              <w:bottom w:type="dxa" w:w="80"/>
              <w:right w:type="dxa" w:w="160"/>
            </w:tcMar>
          </w:tcPr>
          <w:p>
            <w:r>
              <w:rPr>
                <w:rFonts w:ascii="Arial" w:cs="Arial" w:eastAsia="Arial" w:hAnsi="Arial"/>
                <w:b/>
                <w:bCs/>
                <w:color w:val="2D6A4F"/>
                <w:sz w:val="18"/>
                <w:szCs w:val="18"/>
              </w:rPr>
              <w:t xml:space="preserve">Role</w:t>
            </w:r>
          </w:p>
        </w:tc>
        <w:tc>
          <w:tcPr>
            <w:tcW w:type="dxa" w:w="7160"/>
            <w:tcBorders>
              <w:top w:val="single" w:color="CCCCCC" w:sz="1"/>
              <w:left w:val="single" w:color="CCCCCC" w:sz="1"/>
              <w:bottom w:val="single" w:color="CCCCCC" w:sz="1"/>
              <w:right w:val="single" w:color="CCCCCC" w:sz="1"/>
            </w:tcBorders>
            <w:shd w:fill="F4F4F4" w:val="clear"/>
            <w:tcMar>
              <w:top w:type="dxa" w:w="80"/>
              <w:left w:type="dxa" w:w="160"/>
              <w:bottom w:type="dxa" w:w="80"/>
              <w:right w:type="dxa" w:w="160"/>
            </w:tcMar>
          </w:tcPr>
          <w:p>
            <w:r>
              <w:rPr>
                <w:rFonts w:ascii="Arial" w:cs="Arial" w:eastAsia="Arial" w:hAnsi="Arial"/>
                <w:color w:val="3D3D3D"/>
                <w:sz w:val="18"/>
                <w:szCs w:val="18"/>
              </w:rPr>
              <w:t xml:space="preserve">Policy Fellow &amp; Lead Facilitator — Ehi Aimiuwu, Sources May Vary</w:t>
            </w:r>
          </w:p>
        </w:tc>
      </w:tr>
      <w:tr>
        <w:tc>
          <w:tcPr>
            <w:tcW w:type="dxa" w:w="2200"/>
            <w:tcBorders>
              <w:top w:val="single" w:color="CCCCCC" w:sz="1"/>
              <w:left w:val="single" w:color="CCCCCC" w:sz="1"/>
              <w:bottom w:val="single" w:color="CCCCCC" w:sz="1"/>
              <w:right w:val="single" w:color="CCCCCC" w:sz="1"/>
            </w:tcBorders>
            <w:shd w:fill="D8F3DC" w:val="clear"/>
            <w:tcMar>
              <w:top w:type="dxa" w:w="80"/>
              <w:left w:type="dxa" w:w="160"/>
              <w:bottom w:type="dxa" w:w="80"/>
              <w:right w:type="dxa" w:w="160"/>
            </w:tcMar>
          </w:tcPr>
          <w:p>
            <w:r>
              <w:rPr>
                <w:rFonts w:ascii="Arial" w:cs="Arial" w:eastAsia="Arial" w:hAnsi="Arial"/>
                <w:b/>
                <w:bCs/>
                <w:color w:val="2D6A4F"/>
                <w:sz w:val="18"/>
                <w:szCs w:val="18"/>
              </w:rPr>
              <w:t xml:space="preserve">Focus Area</w:t>
            </w:r>
          </w:p>
        </w:tc>
        <w:tc>
          <w:tcPr>
            <w:tcW w:type="dxa" w:w="7160"/>
            <w:tcBorders>
              <w:top w:val="single" w:color="CCCCCC" w:sz="1"/>
              <w:left w:val="single" w:color="CCCCCC" w:sz="1"/>
              <w:bottom w:val="single" w:color="CCCCCC" w:sz="1"/>
              <w:right w:val="single" w:color="CCCCCC" w:sz="1"/>
            </w:tcBorders>
            <w:shd w:fill="F4F4F4" w:val="clear"/>
            <w:tcMar>
              <w:top w:type="dxa" w:w="80"/>
              <w:left w:type="dxa" w:w="160"/>
              <w:bottom w:type="dxa" w:w="80"/>
              <w:right w:type="dxa" w:w="160"/>
            </w:tcMar>
          </w:tcPr>
          <w:p>
            <w:r>
              <w:rPr>
                <w:rFonts w:ascii="Arial" w:cs="Arial" w:eastAsia="Arial" w:hAnsi="Arial"/>
                <w:color w:val="3D3D3D"/>
                <w:sz w:val="18"/>
                <w:szCs w:val="18"/>
              </w:rPr>
              <w:t xml:space="preserve">Employment barriers, civic engagement, cross-sector policy ideation</w:t>
            </w:r>
          </w:p>
        </w:tc>
      </w:tr>
      <w:tr>
        <w:tc>
          <w:tcPr>
            <w:tcW w:type="dxa" w:w="2200"/>
            <w:tcBorders>
              <w:top w:val="single" w:color="CCCCCC" w:sz="1"/>
              <w:left w:val="single" w:color="CCCCCC" w:sz="1"/>
              <w:bottom w:val="single" w:color="CCCCCC" w:sz="1"/>
              <w:right w:val="single" w:color="CCCCCC" w:sz="1"/>
            </w:tcBorders>
            <w:shd w:fill="D8F3DC" w:val="clear"/>
            <w:tcMar>
              <w:top w:type="dxa" w:w="80"/>
              <w:left w:type="dxa" w:w="160"/>
              <w:bottom w:type="dxa" w:w="80"/>
              <w:right w:type="dxa" w:w="160"/>
            </w:tcMar>
          </w:tcPr>
          <w:p>
            <w:r>
              <w:rPr>
                <w:rFonts w:ascii="Arial" w:cs="Arial" w:eastAsia="Arial" w:hAnsi="Arial"/>
                <w:b/>
                <w:bCs/>
                <w:color w:val="2D6A4F"/>
                <w:sz w:val="18"/>
                <w:szCs w:val="18"/>
              </w:rPr>
              <w:t xml:space="preserve">Recognition</w:t>
            </w:r>
          </w:p>
        </w:tc>
        <w:tc>
          <w:tcPr>
            <w:tcW w:type="dxa" w:w="7160"/>
            <w:tcBorders>
              <w:top w:val="single" w:color="CCCCCC" w:sz="1"/>
              <w:left w:val="single" w:color="CCCCCC" w:sz="1"/>
              <w:bottom w:val="single" w:color="CCCCCC" w:sz="1"/>
              <w:right w:val="single" w:color="CCCCCC" w:sz="1"/>
            </w:tcBorders>
            <w:shd w:fill="F4F4F4" w:val="clear"/>
            <w:tcMar>
              <w:top w:type="dxa" w:w="80"/>
              <w:left w:type="dxa" w:w="160"/>
              <w:bottom w:type="dxa" w:w="80"/>
              <w:right w:type="dxa" w:w="160"/>
            </w:tcMar>
          </w:tcPr>
          <w:p>
            <w:r>
              <w:rPr>
                <w:rFonts w:ascii="Arial" w:cs="Arial" w:eastAsia="Arial" w:hAnsi="Arial"/>
                <w:color w:val="3D3D3D"/>
                <w:sz w:val="18"/>
                <w:szCs w:val="18"/>
              </w:rPr>
              <w:t xml:space="preserve">2025 Pathways to Prosperity Prize — State Policy Network</w:t>
            </w:r>
          </w:p>
        </w:tc>
      </w:tr>
    </w:tbl>
    <w:p>
      <w:pPr>
        <w:pBdr>
          <w:bottom w:val="single" w:color="95D5B2" w:sz="4" w:space="1"/>
        </w:pBdr>
        <w:spacing w:before="160" w:after="160"/>
      </w:pPr>
      <w:r>
        <w:t xml:space="preserve"/>
      </w:r>
    </w:p>
    <w:p>
      <w:pPr>
        <w:pStyle w:val="Heading1"/>
        <w:spacing w:before="360" w:after="120"/>
      </w:pPr>
      <w:r>
        <w:rPr>
          <w:rFonts w:ascii="Arial" w:cs="Arial" w:eastAsia="Arial" w:hAnsi="Arial"/>
          <w:b/>
          <w:bCs/>
          <w:color w:val="2D6A4F"/>
          <w:sz w:val="28"/>
          <w:szCs w:val="28"/>
        </w:rPr>
        <w:t xml:space="preserve">The Problem</w:t>
      </w:r>
    </w:p>
    <w:p>
      <w:pPr>
        <w:spacing w:before="80" w:after="100"/>
      </w:pPr>
      <w:r>
        <w:rPr>
          <w:rFonts w:ascii="Arial" w:cs="Arial" w:eastAsia="Arial" w:hAnsi="Arial"/>
          <w:color w:val="3D3D3D"/>
          <w:sz w:val="22"/>
          <w:szCs w:val="22"/>
        </w:rPr>
        <w:t xml:space="preserve">Civic policy work has a fundamental translation problem. It shows up on both sides of the room.</w:t>
      </w:r>
    </w:p>
    <w:p>
      <w:pPr>
        <w:spacing w:before="60" w:after="60"/>
      </w:pPr>
      <w:r>
        <w:t xml:space="preserve"/>
      </w:r>
    </w:p>
    <w:p>
      <w:pPr>
        <w:spacing w:before="80" w:after="100"/>
      </w:pPr>
      <w:r>
        <w:rPr>
          <w:rFonts w:ascii="Arial" w:cs="Arial" w:eastAsia="Arial" w:hAnsi="Arial"/>
          <w:color w:val="3D3D3D"/>
          <w:sz w:val="22"/>
          <w:szCs w:val="22"/>
        </w:rPr>
        <w:t xml:space="preserve">On the policy side: legislators and policy advocates who understand systems and legislative process but are largely disconnected from the lived realities of the communities their work affects. Most policy people know their own perspective and experience. The structural barriers facing a formerly incarcerated person trying to find stable employment — competing against union pipelines for the same employer relationships, locked out of training programs by eligibility criteria that were never designed with them in mind — are invisible until someone surfaces them.</w:t>
      </w:r>
    </w:p>
    <w:p>
      <w:pPr>
        <w:spacing w:before="60" w:after="60"/>
      </w:pPr>
      <w:r>
        <w:t xml:space="preserve"/>
      </w:r>
    </w:p>
    <w:p>
      <w:pPr>
        <w:spacing w:before="80" w:after="100"/>
      </w:pPr>
      <w:r>
        <w:rPr>
          <w:rFonts w:ascii="Arial" w:cs="Arial" w:eastAsia="Arial" w:hAnsi="Arial"/>
          <w:color w:val="3D3D3D"/>
          <w:sz w:val="22"/>
          <w:szCs w:val="22"/>
        </w:rPr>
        <w:t xml:space="preserve">On the community side: block club leaders, reentry organizations, and community-based service providers who are closest to the problem, often doing the most critical work, and also the most burned out. Years of being consulted without being heard produces a specific kind of exhaustion. When communities finally get a seat at the table, the release of that pressure — the trauma dump, the frustration, the everything-at-once — can make it nearly impossible to translate lived experience into actionable policy language.</w:t>
      </w:r>
    </w:p>
    <w:p>
      <w:pPr>
        <w:spacing w:before="60" w:after="60"/>
      </w:pPr>
      <w:r>
        <w:t xml:space="preserve"/>
      </w:r>
    </w:p>
    <w:tbl>
      <w:tblPr>
        <w:tblW w:type="dxa" w:w="9360"/>
        <w:tblBorders>
          <w:top w:val="none" w:color="FFFFFF" w:sz="0"/>
          <w:left w:val="single" w:color="2D6A4F" w:sz="18"/>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single" w:color="2D6A4F" w:sz="18"/>
              <w:bottom w:val="none" w:color="FFFFFF" w:sz="0"/>
              <w:right w:val="none" w:color="FFFFFF" w:sz="0"/>
            </w:tcBorders>
            <w:shd w:fill="D8F3DC" w:val="clear"/>
            <w:tcMar>
              <w:top w:type="dxa" w:w="200"/>
              <w:left w:type="dxa" w:w="300"/>
              <w:bottom w:type="dxa" w:w="200"/>
              <w:right w:type="dxa" w:w="200"/>
            </w:tcMar>
          </w:tcPr>
          <w:p>
            <w:pPr>
              <w:spacing w:before="40" w:after="40"/>
            </w:pPr>
            <w:r>
              <w:rPr>
                <w:rFonts w:ascii="Arial" w:cs="Arial" w:eastAsia="Arial" w:hAnsi="Arial"/>
                <w:b/>
                <w:bCs/>
                <w:i/>
                <w:iCs/>
                <w:color w:val="2D6A4F"/>
                <w:sz w:val="24"/>
                <w:szCs w:val="24"/>
              </w:rPr>
              <w:t xml:space="preserve">The gap isn’t a lack of information. It’s a breakdown in language, trust, and context.</w:t>
            </w:r>
          </w:p>
        </w:tc>
      </w:tr>
    </w:tbl>
    <w:p>
      <w:pPr>
        <w:spacing w:before="60" w:after="60"/>
      </w:pPr>
      <w:r>
        <w:t xml:space="preserve"/>
      </w:r>
    </w:p>
    <w:p>
      <w:pPr>
        <w:spacing w:before="80" w:after="100"/>
      </w:pPr>
      <w:r>
        <w:rPr>
          <w:rFonts w:ascii="Arial" w:cs="Arial" w:eastAsia="Arial" w:hAnsi="Arial"/>
          <w:color w:val="3D3D3D"/>
          <w:sz w:val="22"/>
          <w:szCs w:val="22"/>
        </w:rPr>
        <w:t xml:space="preserve">Standard public comment processes don’t fix it. Town halls don’t fix it. What’s needed is a translator — someone who can move fluently between a block club leader’s kitchen table and a state legislative hearing, and who understands that trust is the prerequisite for everything else.</w:t>
      </w:r>
    </w:p>
    <w:p>
      <w:pPr>
        <w:pBdr>
          <w:bottom w:val="single" w:color="95D5B2" w:sz="4" w:space="1"/>
        </w:pBdr>
        <w:spacing w:before="160" w:after="160"/>
      </w:pPr>
      <w:r>
        <w:t xml:space="preserve"/>
      </w:r>
    </w:p>
    <w:p>
      <w:pPr>
        <w:pStyle w:val="Heading1"/>
        <w:spacing w:before="360" w:after="120"/>
      </w:pPr>
      <w:r>
        <w:rPr>
          <w:rFonts w:ascii="Arial" w:cs="Arial" w:eastAsia="Arial" w:hAnsi="Arial"/>
          <w:b/>
          <w:bCs/>
          <w:color w:val="2D6A4F"/>
          <w:sz w:val="28"/>
          <w:szCs w:val="28"/>
        </w:rPr>
        <w:t xml:space="preserve">The Approach</w:t>
      </w:r>
    </w:p>
    <w:p>
      <w:pPr>
        <w:spacing w:before="80" w:after="100"/>
      </w:pPr>
      <w:r>
        <w:rPr>
          <w:rFonts w:ascii="Arial" w:cs="Arial" w:eastAsia="Arial" w:hAnsi="Arial"/>
          <w:color w:val="3D3D3D"/>
          <w:sz w:val="22"/>
          <w:szCs w:val="22"/>
        </w:rPr>
        <w:t xml:space="preserve">Working with CfPS as a Policy Fellow, I designed and facilitated a recurring series of cross-sector policy ideation workshops bringing together block club leaders, community-based organization directors, and state and local lawmakers. The methodology operates in three phases.</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W w:type="dxa" w:w="1200"/>
            <w:tcBorders>
              <w:top w:val="single" w:color="CCCCCC" w:sz="1"/>
              <w:left w:val="single" w:color="CCCCCC" w:sz="1"/>
              <w:bottom w:val="single" w:color="CCCCCC" w:sz="1"/>
              <w:right w:val="single" w:color="CCCCCC" w:sz="1"/>
            </w:tcBorders>
            <w:shd w:fill="2D6A4F" w:val="clear"/>
            <w:tcMar>
              <w:top w:type="dxa" w:w="120"/>
              <w:left w:type="dxa" w:w="160"/>
              <w:bottom w:type="dxa" w:w="120"/>
              <w:right w:type="dxa" w:w="160"/>
            </w:tcMar>
            <w:vAlign w:val="center"/>
          </w:tcPr>
          <w:p>
            <w:pPr>
              <w:jc w:val="center"/>
            </w:pPr>
            <w:r>
              <w:rPr>
                <w:rFonts w:ascii="Arial" w:cs="Arial" w:eastAsia="Arial" w:hAnsi="Arial"/>
                <w:b/>
                <w:bCs/>
                <w:color w:val="FFFFFF"/>
                <w:sz w:val="22"/>
                <w:szCs w:val="22"/>
              </w:rPr>
              <w:t xml:space="preserve">01</w:t>
            </w:r>
          </w:p>
        </w:tc>
        <w:tc>
          <w:tcPr>
            <w:tcW w:type="dxa" w:w="8160"/>
            <w:tcBorders>
              <w:top w:val="single" w:color="CCCCCC" w:sz="1"/>
              <w:left w:val="single" w:color="CCCCCC" w:sz="1"/>
              <w:bottom w:val="single" w:color="CCCCCC" w:sz="1"/>
              <w:right w:val="single" w:color="CCCCCC" w:sz="1"/>
            </w:tcBorders>
            <w:shd w:fill="F4F4F4" w:val="clear"/>
            <w:tcMar>
              <w:top w:type="dxa" w:w="120"/>
              <w:left w:type="dxa" w:w="200"/>
              <w:bottom w:type="dxa" w:w="120"/>
              <w:right w:type="dxa" w:w="160"/>
            </w:tcMar>
          </w:tcPr>
          <w:p>
            <w:pPr>
              <w:spacing w:after="40"/>
            </w:pPr>
            <w:r>
              <w:rPr>
                <w:rFonts w:ascii="Arial" w:cs="Arial" w:eastAsia="Arial" w:hAnsi="Arial"/>
                <w:b/>
                <w:bCs/>
                <w:color w:val="1B1B1B"/>
                <w:sz w:val="22"/>
                <w:szCs w:val="22"/>
              </w:rPr>
              <w:t xml:space="preserve">Before the Room — Community Preparation</w:t>
            </w:r>
          </w:p>
          <w:p>
            <w:pPr>
              <w:spacing w:before="0" w:after="0"/>
            </w:pPr>
            <w:r>
              <w:rPr>
                <w:rFonts w:ascii="Arial" w:cs="Arial" w:eastAsia="Arial" w:hAnsi="Arial"/>
                <w:color w:val="3D3D3D"/>
                <w:sz w:val="20"/>
                <w:szCs w:val="20"/>
              </w:rPr>
              <w:t xml:space="preserve">I meet individually with community leaders ahead of each workshop to draw out three things: what they’re observing on the ground, what the people they serve are experiencing, and what barriers they face as organizations actively trying to solve the problem. This is not a briefing — it’s a listening session. I share my own story first. Trust is the prerequisite, especially when the policy people in the room don’t look or sound like the communities being discussed.</w:t>
            </w:r>
          </w:p>
        </w:tc>
      </w:tr>
    </w:tbl>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W w:type="dxa" w:w="1200"/>
            <w:tcBorders>
              <w:top w:val="single" w:color="CCCCCC" w:sz="1"/>
              <w:left w:val="single" w:color="CCCCCC" w:sz="1"/>
              <w:bottom w:val="single" w:color="CCCCCC" w:sz="1"/>
              <w:right w:val="single" w:color="CCCCCC" w:sz="1"/>
            </w:tcBorders>
            <w:shd w:fill="2D6A4F" w:val="clear"/>
            <w:tcMar>
              <w:top w:type="dxa" w:w="120"/>
              <w:left w:type="dxa" w:w="160"/>
              <w:bottom w:type="dxa" w:w="120"/>
              <w:right w:type="dxa" w:w="160"/>
            </w:tcMar>
            <w:vAlign w:val="center"/>
          </w:tcPr>
          <w:p>
            <w:pPr>
              <w:jc w:val="center"/>
            </w:pPr>
            <w:r>
              <w:rPr>
                <w:rFonts w:ascii="Arial" w:cs="Arial" w:eastAsia="Arial" w:hAnsi="Arial"/>
                <w:b/>
                <w:bCs/>
                <w:color w:val="FFFFFF"/>
                <w:sz w:val="22"/>
                <w:szCs w:val="22"/>
              </w:rPr>
              <w:t xml:space="preserve">02</w:t>
            </w:r>
          </w:p>
        </w:tc>
        <w:tc>
          <w:tcPr>
            <w:tcW w:type="dxa" w:w="8160"/>
            <w:tcBorders>
              <w:top w:val="single" w:color="CCCCCC" w:sz="1"/>
              <w:left w:val="single" w:color="CCCCCC" w:sz="1"/>
              <w:bottom w:val="single" w:color="CCCCCC" w:sz="1"/>
              <w:right w:val="single" w:color="CCCCCC" w:sz="1"/>
            </w:tcBorders>
            <w:shd w:fill="F4F4F4" w:val="clear"/>
            <w:tcMar>
              <w:top w:type="dxa" w:w="120"/>
              <w:left w:type="dxa" w:w="200"/>
              <w:bottom w:type="dxa" w:w="120"/>
              <w:right w:type="dxa" w:w="160"/>
            </w:tcMar>
          </w:tcPr>
          <w:p>
            <w:pPr>
              <w:spacing w:after="40"/>
            </w:pPr>
            <w:r>
              <w:rPr>
                <w:rFonts w:ascii="Arial" w:cs="Arial" w:eastAsia="Arial" w:hAnsi="Arial"/>
                <w:b/>
                <w:bCs/>
                <w:color w:val="1B1B1B"/>
                <w:sz w:val="22"/>
                <w:szCs w:val="22"/>
              </w:rPr>
              <w:t xml:space="preserve">Strategic Bridging — Mapping Story to Policy</w:t>
            </w:r>
          </w:p>
          <w:p>
            <w:pPr>
              <w:spacing w:before="0" w:after="0"/>
            </w:pPr>
            <w:r>
              <w:rPr>
                <w:rFonts w:ascii="Arial" w:cs="Arial" w:eastAsia="Arial" w:hAnsi="Arial"/>
                <w:color w:val="3D3D3D"/>
                <w:sz w:val="20"/>
                <w:szCs w:val="20"/>
              </w:rPr>
              <w:t xml:space="preserve">Before the workshop begins, I map each leader’s experience to a specific policy hook. When a reentry organization director talks about clients being locked out of job training programs due to eligibility criteria that weren’t designed for people who need foundational support first, I already know which researcher or lawmaker in the room that connects to. I use real-time interview techniques during the session to draw out the specific, actionable insight embedded inside the broader story — not the trauma dump, but the translatable data point.</w:t>
            </w:r>
          </w:p>
        </w:tc>
      </w:tr>
    </w:tbl>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W w:type="dxa" w:w="1200"/>
            <w:tcBorders>
              <w:top w:val="single" w:color="CCCCCC" w:sz="1"/>
              <w:left w:val="single" w:color="CCCCCC" w:sz="1"/>
              <w:bottom w:val="single" w:color="CCCCCC" w:sz="1"/>
              <w:right w:val="single" w:color="CCCCCC" w:sz="1"/>
            </w:tcBorders>
            <w:shd w:fill="2D6A4F" w:val="clear"/>
            <w:tcMar>
              <w:top w:type="dxa" w:w="120"/>
              <w:left w:type="dxa" w:w="160"/>
              <w:bottom w:type="dxa" w:w="120"/>
              <w:right w:type="dxa" w:w="160"/>
            </w:tcMar>
            <w:vAlign w:val="center"/>
          </w:tcPr>
          <w:p>
            <w:pPr>
              <w:jc w:val="center"/>
            </w:pPr>
            <w:r>
              <w:rPr>
                <w:rFonts w:ascii="Arial" w:cs="Arial" w:eastAsia="Arial" w:hAnsi="Arial"/>
                <w:b/>
                <w:bCs/>
                <w:color w:val="FFFFFF"/>
                <w:sz w:val="22"/>
                <w:szCs w:val="22"/>
              </w:rPr>
              <w:t xml:space="preserve">03</w:t>
            </w:r>
          </w:p>
        </w:tc>
        <w:tc>
          <w:tcPr>
            <w:tcW w:type="dxa" w:w="8160"/>
            <w:tcBorders>
              <w:top w:val="single" w:color="CCCCCC" w:sz="1"/>
              <w:left w:val="single" w:color="CCCCCC" w:sz="1"/>
              <w:bottom w:val="single" w:color="CCCCCC" w:sz="1"/>
              <w:right w:val="single" w:color="CCCCCC" w:sz="1"/>
            </w:tcBorders>
            <w:shd w:fill="F4F4F4" w:val="clear"/>
            <w:tcMar>
              <w:top w:type="dxa" w:w="120"/>
              <w:left w:type="dxa" w:w="200"/>
              <w:bottom w:type="dxa" w:w="120"/>
              <w:right w:type="dxa" w:w="160"/>
            </w:tcMar>
          </w:tcPr>
          <w:p>
            <w:pPr>
              <w:spacing w:after="40"/>
            </w:pPr>
            <w:r>
              <w:rPr>
                <w:rFonts w:ascii="Arial" w:cs="Arial" w:eastAsia="Arial" w:hAnsi="Arial"/>
                <w:b/>
                <w:bCs/>
                <w:color w:val="1B1B1B"/>
                <w:sz w:val="22"/>
                <w:szCs w:val="22"/>
              </w:rPr>
              <w:t xml:space="preserve">After the Room — Sustained Momentum</w:t>
            </w:r>
          </w:p>
          <w:p>
            <w:pPr>
              <w:spacing w:before="0" w:after="0"/>
            </w:pPr>
            <w:r>
              <w:rPr>
                <w:rFonts w:ascii="Arial" w:cs="Arial" w:eastAsia="Arial" w:hAnsi="Arial"/>
                <w:color w:val="3D3D3D"/>
                <w:sz w:val="20"/>
                <w:szCs w:val="20"/>
              </w:rPr>
              <w:t xml:space="preserve">Community leaders leave with energy and momentum. They schedule follow-up meetings with each other and with the team. They bring conversations back to their organizations. The relationships that begin in the workshop continue — leaders reach out directly to work through their next steps, to get a second opinion on an email, to figure out what piece of their experience belongs in a policy brief. The room doesn’t end when the meeting does.</w:t>
            </w:r>
          </w:p>
        </w:tc>
      </w:tr>
    </w:tbl>
    <w:p>
      <w:pPr>
        <w:pBdr>
          <w:bottom w:val="single" w:color="95D5B2" w:sz="4" w:space="1"/>
        </w:pBdr>
        <w:spacing w:before="160" w:after="160"/>
      </w:pPr>
      <w:r>
        <w:t xml:space="preserve"/>
      </w:r>
    </w:p>
    <w:p>
      <w:pPr>
        <w:pStyle w:val="Heading1"/>
        <w:spacing w:before="360" w:after="120"/>
      </w:pPr>
      <w:r>
        <w:rPr>
          <w:rFonts w:ascii="Arial" w:cs="Arial" w:eastAsia="Arial" w:hAnsi="Arial"/>
          <w:b/>
          <w:bCs/>
          <w:color w:val="2D6A4F"/>
          <w:sz w:val="28"/>
          <w:szCs w:val="28"/>
        </w:rPr>
        <w:t xml:space="preserve">The Results</w:t>
      </w:r>
    </w:p>
    <w:p>
      <w:pPr>
        <w:spacing w:before="80" w:after="100"/>
      </w:pPr>
      <w:r>
        <w:rPr>
          <w:rFonts w:ascii="Arial" w:cs="Arial" w:eastAsia="Arial" w:hAnsi="Arial"/>
          <w:color w:val="3D3D3D"/>
          <w:sz w:val="22"/>
          <w:szCs w:val="22"/>
        </w:rPr>
        <w:t xml:space="preserve">In 2025, the Illinois Policy Institute’s Center for Poverty Solutions was recognized with the Pathways to Prosperity Prize from the State Policy Network — a national award honoring innovative, market-based solutions to poverty. The Neighborhood Employment Co-op, the initiative at the center of this facilitation work, was cited as the recognized program.</w:t>
      </w:r>
    </w:p>
    <w:p>
      <w:pPr>
        <w:spacing w:before="60" w:after="60"/>
      </w:pPr>
      <w:r>
        <w:t xml:space="preserve"/>
      </w:r>
    </w:p>
    <w:p>
      <w:pPr>
        <w:spacing w:before="80" w:after="100"/>
      </w:pPr>
      <w:r>
        <w:rPr>
          <w:rFonts w:ascii="Arial" w:cs="Arial" w:eastAsia="Arial" w:hAnsi="Arial"/>
          <w:color w:val="3D3D3D"/>
          <w:sz w:val="22"/>
          <w:szCs w:val="22"/>
        </w:rPr>
        <w:t xml:space="preserve">Across the duration of this work, the initiative produced:</w:t>
      </w:r>
    </w:p>
    <w:p>
      <w:pPr>
        <w:spacing w:before="60" w:after="60"/>
      </w:pPr>
      <w:r>
        <w:t xml:space="preserve"/>
      </w:r>
    </w:p>
    <w:p>
      <w:pPr>
        <w:pStyle w:val="ListParagraph"/>
        <w:numPr>
          <w:ilvl w:val="0"/>
          <w:numId w:val="2"/>
        </w:numPr>
        <w:spacing w:before="60" w:after="60"/>
      </w:pPr>
      <w:r>
        <w:rPr>
          <w:rFonts w:ascii="Arial" w:cs="Arial" w:eastAsia="Arial" w:hAnsi="Arial"/>
          <w:color w:val="3D3D3D"/>
          <w:sz w:val="22"/>
          <w:szCs w:val="22"/>
        </w:rPr>
        <w:t xml:space="preserve">Multiple bills drafted and filed through the Illinois General Assembly in partnership with state lawmakers, targeting specific barriers to employment identified through the workshop process</w:t>
      </w:r>
    </w:p>
    <w:p>
      <w:pPr>
        <w:pStyle w:val="ListParagraph"/>
        <w:numPr>
          <w:ilvl w:val="0"/>
          <w:numId w:val="2"/>
        </w:numPr>
        <w:spacing w:before="60" w:after="60"/>
      </w:pPr>
      <w:r>
        <w:rPr>
          <w:rFonts w:ascii="Arial" w:cs="Arial" w:eastAsia="Arial" w:hAnsi="Arial"/>
          <w:color w:val="3D3D3D"/>
          <w:sz w:val="22"/>
          <w:szCs w:val="22"/>
        </w:rPr>
        <w:t xml:space="preserve">Op-eds and policy findings published in top-tier outlets including Crain’s Chicago Business and the Chicago Tribune, translating community-sourced insights into public-facing policy arguments</w:t>
      </w:r>
    </w:p>
    <w:p>
      <w:pPr>
        <w:pStyle w:val="ListParagraph"/>
        <w:numPr>
          <w:ilvl w:val="0"/>
          <w:numId w:val="2"/>
        </w:numPr>
        <w:spacing w:before="60" w:after="60"/>
      </w:pPr>
      <w:r>
        <w:rPr>
          <w:rFonts w:ascii="Arial" w:cs="Arial" w:eastAsia="Arial" w:hAnsi="Arial"/>
          <w:color w:val="3D3D3D"/>
          <w:sz w:val="22"/>
          <w:szCs w:val="22"/>
        </w:rPr>
        <w:t xml:space="preserve">Partnerships established with high-quality service providers across Chicago, expanding the network of organizations working in coordination rather than isolation</w:t>
      </w:r>
    </w:p>
    <w:p>
      <w:pPr>
        <w:pStyle w:val="ListParagraph"/>
        <w:numPr>
          <w:ilvl w:val="0"/>
          <w:numId w:val="2"/>
        </w:numPr>
        <w:spacing w:before="60" w:after="60"/>
      </w:pPr>
      <w:r>
        <w:rPr>
          <w:rFonts w:ascii="Arial" w:cs="Arial" w:eastAsia="Arial" w:hAnsi="Arial"/>
          <w:color w:val="3D3D3D"/>
          <w:sz w:val="22"/>
          <w:szCs w:val="22"/>
        </w:rPr>
        <w:t xml:space="preserve">Block club leaders and community organization directors who entered workshops burned out and skeptical leaving energized, coordinating next steps, and bringing state representatives into future sessions on their own initiative</w:t>
      </w:r>
    </w:p>
    <w:p>
      <w:pPr>
        <w:pStyle w:val="ListParagraph"/>
        <w:numPr>
          <w:ilvl w:val="0"/>
          <w:numId w:val="2"/>
        </w:numPr>
        <w:spacing w:before="60" w:after="60"/>
      </w:pPr>
      <w:r>
        <w:rPr>
          <w:rFonts w:ascii="Arial" w:cs="Arial" w:eastAsia="Arial" w:hAnsi="Arial"/>
          <w:color w:val="3D3D3D"/>
          <w:sz w:val="22"/>
          <w:szCs w:val="22"/>
        </w:rPr>
        <w:t xml:space="preserve">Policy researchers and lawmakers who left sessions with a materially different understanding of the specific barriers facing the communities they serve</w:t>
      </w:r>
    </w:p>
    <w:p>
      <w:pPr>
        <w:spacing w:before="60" w:after="60"/>
      </w:pPr>
      <w:r>
        <w:t xml:space="preserve"/>
      </w:r>
    </w:p>
    <w:tbl>
      <w:tblPr>
        <w:tblW w:type="dxa" w:w="9360"/>
        <w:tblBorders>
          <w:top w:val="none" w:color="FFFFFF" w:sz="0"/>
          <w:left w:val="single" w:color="2D6A4F" w:sz="18"/>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single" w:color="2D6A4F" w:sz="18"/>
              <w:bottom w:val="none" w:color="FFFFFF" w:sz="0"/>
              <w:right w:val="none" w:color="FFFFFF" w:sz="0"/>
            </w:tcBorders>
            <w:shd w:fill="D8F3DC" w:val="clear"/>
            <w:tcMar>
              <w:top w:type="dxa" w:w="200"/>
              <w:left w:type="dxa" w:w="300"/>
              <w:bottom w:type="dxa" w:w="200"/>
              <w:right w:type="dxa" w:w="200"/>
            </w:tcMar>
          </w:tcPr>
          <w:p>
            <w:pPr>
              <w:spacing w:before="40" w:after="40"/>
            </w:pPr>
            <w:r>
              <w:rPr>
                <w:rFonts w:ascii="Arial" w:cs="Arial" w:eastAsia="Arial" w:hAnsi="Arial"/>
                <w:b/>
                <w:bCs/>
                <w:i/>
                <w:iCs/>
                <w:color w:val="2D6A4F"/>
                <w:sz w:val="24"/>
                <w:szCs w:val="24"/>
              </w:rPr>
              <w:t xml:space="preserve">“The energy buzzes with excitement and movement.” — Community leader feedback following facilitated sessions</w:t>
            </w:r>
          </w:p>
        </w:tc>
      </w:tr>
    </w:tbl>
    <w:p>
      <w:pPr>
        <w:pBdr>
          <w:bottom w:val="single" w:color="95D5B2" w:sz="4" w:space="1"/>
        </w:pBdr>
        <w:spacing w:before="160" w:after="160"/>
      </w:pPr>
      <w:r>
        <w:t xml:space="preserve"/>
      </w:r>
    </w:p>
    <w:p>
      <w:pPr>
        <w:pStyle w:val="Heading1"/>
        <w:spacing w:before="360" w:after="120"/>
      </w:pPr>
      <w:r>
        <w:rPr>
          <w:rFonts w:ascii="Arial" w:cs="Arial" w:eastAsia="Arial" w:hAnsi="Arial"/>
          <w:b/>
          <w:bCs/>
          <w:color w:val="2D6A4F"/>
          <w:sz w:val="28"/>
          <w:szCs w:val="28"/>
        </w:rPr>
        <w:t xml:space="preserve">The Insight</w:t>
      </w:r>
    </w:p>
    <w:p>
      <w:pPr>
        <w:spacing w:before="80" w:after="100"/>
      </w:pPr>
      <w:r>
        <w:rPr>
          <w:rFonts w:ascii="Arial" w:cs="Arial" w:eastAsia="Arial" w:hAnsi="Arial"/>
          <w:color w:val="3D3D3D"/>
          <w:sz w:val="22"/>
          <w:szCs w:val="22"/>
        </w:rPr>
        <w:t xml:space="preserve">The most underestimated infrastructure in civic and policy work is the person who can hold both rooms at once.</w:t>
      </w:r>
    </w:p>
    <w:p>
      <w:pPr>
        <w:spacing w:before="60" w:after="60"/>
      </w:pPr>
      <w:r>
        <w:t xml:space="preserve"/>
      </w:r>
    </w:p>
    <w:p>
      <w:pPr>
        <w:spacing w:before="80" w:after="100"/>
      </w:pPr>
      <w:r>
        <w:rPr>
          <w:rFonts w:ascii="Arial" w:cs="Arial" w:eastAsia="Arial" w:hAnsi="Arial"/>
          <w:color w:val="3D3D3D"/>
          <w:sz w:val="22"/>
          <w:szCs w:val="22"/>
        </w:rPr>
        <w:t xml:space="preserve">Data tells you unemployment rates. It doesn’t tell you that a reentry organization is competing directly against union pipelines for the same employer relationships — and losing, not because their clients are less capable, but because the structural relationships were built before their clients were considered. That kind of insight only surfaces through trust, through sustained relationship, and through a facilitation methodology designed to translate rather than simply document.</w:t>
      </w:r>
    </w:p>
    <w:p>
      <w:pPr>
        <w:spacing w:before="60" w:after="60"/>
      </w:pPr>
      <w:r>
        <w:t xml:space="preserve"/>
      </w:r>
    </w:p>
    <w:p>
      <w:pPr>
        <w:spacing w:before="80" w:after="100"/>
      </w:pPr>
      <w:r>
        <w:rPr>
          <w:rFonts w:ascii="Arial" w:cs="Arial" w:eastAsia="Arial" w:hAnsi="Arial"/>
          <w:color w:val="3D3D3D"/>
          <w:sz w:val="22"/>
          <w:szCs w:val="22"/>
        </w:rPr>
        <w:t xml:space="preserve">That translation capacity is what I build. And it’s what I help organizations develop through Sources May Vary.</w:t>
      </w:r>
    </w:p>
    <w:p>
      <w:pPr>
        <w:pBdr>
          <w:bottom w:val="single" w:color="95D5B2" w:sz="4" w:space="1"/>
        </w:pBdr>
        <w:spacing w:before="160" w:after="160"/>
      </w:pPr>
      <w:r>
        <w:t xml:space="preserve"/>
      </w:r>
    </w:p>
    <w:p>
      <w:pPr>
        <w:pStyle w:val="Heading1"/>
        <w:spacing w:before="360" w:after="120"/>
      </w:pPr>
      <w:r>
        <w:rPr>
          <w:rFonts w:ascii="Arial" w:cs="Arial" w:eastAsia="Arial" w:hAnsi="Arial"/>
          <w:b/>
          <w:bCs/>
          <w:color w:val="2D6A4F"/>
          <w:sz w:val="28"/>
          <w:szCs w:val="28"/>
        </w:rPr>
        <w:t xml:space="preserve">About Sources May Vary</w:t>
      </w:r>
    </w:p>
    <w:p>
      <w:pPr>
        <w:spacing w:before="80" w:after="100"/>
      </w:pPr>
      <w:r>
        <w:rPr>
          <w:rFonts w:ascii="Arial" w:cs="Arial" w:eastAsia="Arial" w:hAnsi="Arial"/>
          <w:color w:val="3D3D3D"/>
          <w:sz w:val="22"/>
          <w:szCs w:val="22"/>
        </w:rPr>
        <w:t xml:space="preserve">Sources May Vary is a creative-tech and civic innovation studio founded by Ehi Aimiuwu. The studio helps mission-driven organizations build the systems, language, and infrastructure they need to do their most important work — from facilitation design and stakeholder engagement to digital strategy and data systems.</w:t>
      </w:r>
    </w:p>
    <w:p>
      <w:pPr>
        <w:spacing w:before="60" w:after="60"/>
      </w:pPr>
      <w:r>
        <w:t xml:space="preserve"/>
      </w:r>
    </w:p>
    <w:p>
      <w:pPr>
        <w:spacing w:before="80" w:after="80"/>
      </w:pPr>
      <w:r>
        <w:rPr>
          <w:rFonts w:ascii="Arial" w:cs="Arial" w:eastAsia="Arial" w:hAnsi="Arial"/>
          <w:b/>
          <w:bCs/>
          <w:color w:val="1B1B1B"/>
          <w:sz w:val="22"/>
          <w:szCs w:val="22"/>
        </w:rPr>
        <w:t xml:space="preserve">Learn more: </w:t>
      </w:r>
      <w:hyperlink w:history="1" r:id="rIdz4qgiyqkrksaanucy7iuz">
        <w:r>
          <w:rPr>
            <w:rStyle w:val="Hyperlink"/>
            <w:rFonts w:ascii="Arial" w:cs="Arial" w:eastAsia="Arial" w:hAnsi="Arial"/>
            <w:color w:val="2D6A4F"/>
            <w:sz w:val="22"/>
            <w:szCs w:val="22"/>
          </w:rPr>
          <w:t xml:space="preserve">sourcesmayvarystudio.com</w:t>
        </w:r>
      </w:hyperlink>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95D5B2" w:sz="4" w:space="6"/>
      </w:pBdr>
      <w:jc w:val="right"/>
    </w:pPr>
    <w:r>
      <w:rPr>
        <w:rFonts w:ascii="Arial" w:cs="Arial" w:eastAsia="Arial" w:hAnsi="Arial"/>
        <w:color w:val="2D6A4F"/>
        <w:sz w:val="16"/>
        <w:szCs w:val="16"/>
      </w:rPr>
      <w:t xml:space="preserve">sourcesmayvarystudio.com  |  Page </w:t>
    </w:r>
    <w:r>
      <w:rPr>
        <w:rFonts w:ascii="Arial" w:cs="Arial" w:eastAsia="Arial" w:hAnsi="Arial"/>
        <w:color w:val="2D6A4F"/>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95D5B2" w:sz="4" w:space="6"/>
      </w:pBdr>
    </w:pPr>
    <w:r>
      <w:rPr>
        <w:rFonts w:ascii="Arial" w:cs="Arial" w:eastAsia="Arial" w:hAnsi="Arial"/>
        <w:color w:val="2D6A4F"/>
        <w:sz w:val="16"/>
        <w:szCs w:val="16"/>
      </w:rPr>
      <w:t xml:space="preserve">Sources May Vary  |  Case Study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D3D3D"/>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20"/>
      <w:outlineLvl w:val="0"/>
    </w:pPr>
    <w:rPr>
      <w:rFonts w:ascii="Arial" w:cs="Arial" w:eastAsia="Arial" w:hAnsi="Arial"/>
      <w:b/>
      <w:bCs/>
      <w:color w:val="2D6A4F"/>
      <w:sz w:val="28"/>
      <w:szCs w:val="28"/>
    </w:rPr>
  </w:style>
  <w:style w:type="paragraph" w:styleId="Heading2">
    <w:name w:val="Heading 2"/>
    <w:basedOn w:val="Normal"/>
    <w:next w:val="Normal"/>
    <w:qFormat/>
    <w:pPr>
      <w:spacing w:before="280" w:after="80"/>
      <w:outlineLvl w:val="1"/>
    </w:pPr>
    <w:rPr>
      <w:rFonts w:ascii="Arial" w:cs="Arial" w:eastAsia="Arial" w:hAnsi="Arial"/>
      <w:b/>
      <w:bCs/>
      <w:color w:val="1B1B1B"/>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z4qgiyqkrksaanucy7iuz" Type="http://schemas.openxmlformats.org/officeDocument/2006/relationships/hyperlink" Target="https://sourcesmayvarystudio.com" TargetMode="External"/><Relationship Id="rId9"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2026-03-13T13:50:33.226Z</dcterms:created>
  <dcterms:modified xsi:type="dcterms:W3CDTF">2026-03-13T13:50:33.226Z</dcterms:modified>
</cp:coreProperties>
</file>

<file path=docProps/custom.xml><?xml version="1.0" encoding="utf-8"?>
<Properties xmlns="http://schemas.openxmlformats.org/officeDocument/2006/custom-properties" xmlns:vt="http://schemas.openxmlformats.org/officeDocument/2006/docPropsVTypes"/>
</file>