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aps/>
          <w:color w:val="7C7E8E"/>
          <w:sz w:val="20"/>
          <w:szCs w:val="20"/>
        </w:rPr>
        <w:t xml:space="preserve">SOURCES MAY VARY</w:t>
      </w:r>
    </w:p>
    <w:p>
      <w:pPr>
        <w:spacing w:after="400"/>
      </w:pPr>
      <w:r>
        <w:rPr>
          <w:color w:val="6A5ACD"/>
          <w:sz w:val="18"/>
          <w:szCs w:val="18"/>
        </w:rPr>
        <w:t xml:space="preserve">Sources Architecture Method™</w:t>
      </w:r>
    </w:p>
    <w:p>
      <w:pPr>
        <w:spacing w:after="200"/>
      </w:pPr>
      <w:r>
        <w:rPr>
          <w:b/>
          <w:bCs/>
          <w:color w:val="1A1A2E"/>
          <w:sz w:val="44"/>
          <w:szCs w:val="44"/>
        </w:rPr>
        <w:t xml:space="preserve">The Systems Intake &amp; Mapping Toolkit</w:t>
      </w:r>
    </w:p>
    <w:p>
      <w:pPr>
        <w:spacing w:after="400"/>
      </w:pPr>
      <w:r>
        <w:rPr>
          <w:i/>
          <w:iCs/>
          <w:color w:val="7C7E8E"/>
          <w:sz w:val="24"/>
          <w:szCs w:val="24"/>
        </w:rPr>
        <w:t xml:space="preserve">Four tools for finding out what is actually going on before you design anything.</w:t>
      </w:r>
    </w:p>
    <w:p>
      <w:pPr>
        <w:spacing w:after="160"/>
      </w:pPr>
      <w:r>
        <w:rPr>
          <w:b w:val="false"/>
          <w:bCs w:val="false"/>
          <w:i w:val="false"/>
          <w:iCs w:val="false"/>
        </w:rPr>
        <w:t xml:space="preserve">Every organization I've worked with, from a nonprofit running on volunteers to a startup building its first product, has the same problem in disguise. Something is not working, and everyone has a theory about why. The theories are usually wrong, or half right, because nobody has actually mapped what is happening before they started fixing it.</w:t>
      </w:r>
    </w:p>
    <w:p>
      <w:pPr>
        <w:spacing w:after="160"/>
      </w:pPr>
      <w:r>
        <w:rPr>
          <w:b w:val="false"/>
          <w:bCs w:val="false"/>
          <w:i w:val="false"/>
          <w:iCs w:val="false"/>
        </w:rPr>
        <w:t xml:space="preserve">These four tools are how I find out what's actually going on. I built them over years of freelance web and marketing work, then carried them into program design, workforce development, and policy facilitation. They work the same way in every setting because the underlying problem is always the same: people design solutions before they understand the system.</w:t>
      </w:r>
    </w:p>
    <w:p>
      <w:pPr>
        <w:spacing w:after="160"/>
      </w:pPr>
      <w:r>
        <w:rPr>
          <w:b w:val="false"/>
          <w:bCs w:val="false"/>
          <w:i/>
          <w:iCs/>
        </w:rPr>
        <w:t xml:space="preserve">Use them in order, or use whichever one your situation calls for. Each one maps to a piece of the Sources Architecture Method™, noted at the end of its section.</w:t>
      </w:r>
    </w:p>
    <w:p>
      <w:pPr>
        <w:pageBreakBefore/>
      </w:pPr>
      <w:r>
        <w:br/>
        <w:t xml:space="preserve"/>
      </w:r>
    </w:p>
    <w:p>
      <w:pPr>
        <w:pStyle w:val="Heading1"/>
        <w:spacing w:after="160" w:before="240"/>
      </w:pPr>
      <w:r>
        <w:t xml:space="preserve">Tool 1: The Client Intake Framework</w:t>
      </w:r>
    </w:p>
    <w:p>
      <w:pPr>
        <w:spacing w:after="160"/>
      </w:pPr>
      <w:r>
        <w:rPr>
          <w:b w:val="false"/>
          <w:bCs w:val="false"/>
          <w:i w:val="false"/>
          <w:iCs w:val="false"/>
        </w:rPr>
        <w:t xml:space="preserve">Before you touch a website, a workflow, or a program design, you need to know four things. Skip one and you end up solving the wrong problem well.</w:t>
      </w:r>
    </w:p>
    <w:p>
      <w:pPr>
        <w:pStyle w:val="Heading3"/>
        <w:spacing w:after="100" w:before="200"/>
      </w:pPr>
      <w:r>
        <w:t xml:space="preserve">Step 1: Cover the current pain points</w:t>
      </w:r>
    </w:p>
    <w:p>
      <w:pPr>
        <w:spacing w:after="160"/>
      </w:pPr>
      <w:r>
        <w:rPr>
          <w:b w:val="false"/>
          <w:bCs w:val="false"/>
          <w:i w:val="false"/>
          <w:iCs w:val="false"/>
        </w:rPr>
        <w:t xml:space="preserve">Ask what's actually broken, in the client's own words, before you offer a single solution. Write down the exact phrases they use. That language tells you what they've already tried to explain to themselves.</w:t>
      </w:r>
    </w:p>
    <w:p>
      <w:pPr>
        <w:pStyle w:val="Heading3"/>
        <w:spacing w:after="100" w:before="200"/>
      </w:pPr>
      <w:r>
        <w:t xml:space="preserve">Step 2: Go through the customer's process</w:t>
      </w:r>
    </w:p>
    <w:p>
      <w:pPr>
        <w:spacing w:after="160"/>
      </w:pPr>
      <w:r>
        <w:rPr>
          <w:b w:val="false"/>
          <w:bCs w:val="false"/>
          <w:i w:val="false"/>
          <w:iCs w:val="false"/>
        </w:rPr>
        <w:t xml:space="preserve">Walk the path their customer, member, or participant actually takes. Not the path in the org chart. The path a real person follows when they try to get what they came for, start to finish.</w:t>
      </w:r>
    </w:p>
    <w:p>
      <w:pPr>
        <w:pStyle w:val="Heading3"/>
        <w:spacing w:after="100" w:before="200"/>
      </w:pPr>
      <w:r>
        <w:t xml:space="preserve">Step 3: Understand the business, brand, and culture</w:t>
      </w:r>
    </w:p>
    <w:p>
      <w:pPr>
        <w:spacing w:after="160"/>
      </w:pPr>
      <w:r>
        <w:rPr>
          <w:b w:val="false"/>
          <w:bCs w:val="false"/>
          <w:i w:val="false"/>
          <w:iCs w:val="false"/>
        </w:rPr>
        <w:t xml:space="preserve">A workflow that ignores who the organization is and who they serve will fail even if it's technically correct. This step is where you learn what will and won't be adopted.</w:t>
      </w:r>
    </w:p>
    <w:p>
      <w:pPr>
        <w:pStyle w:val="Heading3"/>
        <w:spacing w:after="100" w:before="200"/>
      </w:pPr>
      <w:r>
        <w:t xml:space="preserve">Step 4: Build the content and structure</w:t>
      </w:r>
    </w:p>
    <w:p>
      <w:pPr>
        <w:spacing w:after="160"/>
      </w:pPr>
      <w:r>
        <w:rPr>
          <w:b w:val="false"/>
          <w:bCs w:val="false"/>
          <w:i w:val="false"/>
          <w:iCs w:val="false"/>
        </w:rPr>
        <w:t xml:space="preserve">Only after the first three steps do you build anything: the copy, the images, the workflow document, the curriculum. Everything built before this step gets rebuilt later, at a higher cost.</w:t>
      </w:r>
    </w:p>
    <w:p>
      <w:pPr>
        <w:spacing w:after="60" w:before="160"/>
      </w:pPr>
      <w:r>
        <w:rPr>
          <w:b/>
          <w:bCs/>
          <w:color w:val="6A5ACD"/>
        </w:rPr>
        <w:t xml:space="preserve">Maps to: Ecosystem Mapping and Workflow Design</w:t>
      </w:r>
    </w:p>
    <w:p>
      <w:pPr>
        <w:pBdr>
          <w:bottom w:val="single" w:color="E8EAEF" w:sz="6" w:space="1"/>
        </w:pBdr>
        <w:spacing w:after="200" w:before="200"/>
      </w:pPr>
    </w:p>
    <w:p>
      <w:pPr>
        <w:pStyle w:val="Heading1"/>
        <w:spacing w:after="160" w:before="240"/>
      </w:pPr>
      <w:r>
        <w:t xml:space="preserve">Tool 2: The Tech Stack Decision Framework</w:t>
      </w:r>
    </w:p>
    <w:p>
      <w:pPr>
        <w:spacing w:after="160"/>
      </w:pPr>
      <w:r>
        <w:rPr>
          <w:b w:val="false"/>
          <w:bCs w:val="false"/>
          <w:i w:val="false"/>
          <w:iCs w:val="false"/>
        </w:rPr>
        <w:t xml:space="preserve">Most organizations lose money not on the tools themselves but on the tools they never should have bought. This framework stops that before it starts.</w:t>
      </w:r>
    </w:p>
    <w:p>
      <w:pPr>
        <w:pStyle w:val="Heading3"/>
        <w:spacing w:after="100" w:before="200"/>
      </w:pPr>
      <w:r>
        <w:t xml:space="preserve">Before you commit to any tool</w:t>
      </w:r>
    </w:p>
    <w:p>
      <w:pPr>
        <w:pStyle w:val="ListParagraph"/>
        <w:numPr>
          <w:ilvl w:val="0"/>
          <w:numId w:val="2"/>
        </w:numPr>
        <w:spacing w:after="80"/>
      </w:pPr>
      <w:r>
        <w:t xml:space="preserve">Thoroughly assess your actual needs before you look at a single product. Write the need down before you start researching solutions.</w:t>
      </w:r>
    </w:p>
    <w:p>
      <w:pPr>
        <w:pStyle w:val="ListParagraph"/>
        <w:numPr>
          <w:ilvl w:val="0"/>
          <w:numId w:val="2"/>
        </w:numPr>
        <w:spacing w:after="80"/>
      </w:pPr>
      <w:r>
        <w:t xml:space="preserve">Don't get swayed by flashy features alone. A feature you'll never use is not a reason to pay more.</w:t>
      </w:r>
    </w:p>
    <w:p>
      <w:pPr>
        <w:pStyle w:val="ListParagraph"/>
        <w:numPr>
          <w:ilvl w:val="0"/>
          <w:numId w:val="2"/>
        </w:numPr>
        <w:spacing w:after="80"/>
      </w:pPr>
      <w:r>
        <w:t xml:space="preserve">Build a short list of your must-haves and score each option against them, objectively, before you decide.</w:t>
      </w:r>
    </w:p>
    <w:p>
      <w:pPr>
        <w:pStyle w:val="ListParagraph"/>
        <w:numPr>
          <w:ilvl w:val="0"/>
          <w:numId w:val="2"/>
        </w:numPr>
        <w:spacing w:after="80"/>
      </w:pPr>
      <w:r>
        <w:t xml:space="preserve">Plan how the tool will integrate with what you already use, and share data, before you purchase it. A tool that creates a workflow bottleneck is not a good deal, no matter the price.</w:t>
      </w:r>
    </w:p>
    <w:p>
      <w:pPr>
        <w:pStyle w:val="Heading3"/>
        <w:spacing w:after="100" w:before="200"/>
      </w:pPr>
      <w:r>
        <w:t xml:space="preserve">The manual-first rule</w:t>
      </w:r>
    </w:p>
    <w:p>
      <w:pPr>
        <w:spacing w:after="160"/>
      </w:pPr>
      <w:r>
        <w:rPr>
          <w:b w:val="false"/>
          <w:bCs w:val="false"/>
          <w:i w:val="false"/>
          <w:iCs w:val="false"/>
        </w:rPr>
        <w:t xml:space="preserve">Start manual. A notepad, a spreadsheet, a shared doc. Only move to paid software once the manual version has taught you exactly what you need it to do. Buying the tool first usually means buying the wrong tool, or the right tool configured wrong.</w:t>
      </w:r>
    </w:p>
    <w:p>
      <w:pPr>
        <w:spacing w:after="60" w:before="160"/>
      </w:pPr>
      <w:r>
        <w:rPr>
          <w:b/>
          <w:bCs/>
          <w:color w:val="6A5ACD"/>
        </w:rPr>
        <w:t xml:space="preserve">Maps to: Constraint Identification</w:t>
      </w:r>
    </w:p>
    <w:p>
      <w:pPr>
        <w:pBdr>
          <w:bottom w:val="single" w:color="E8EAEF" w:sz="6" w:space="1"/>
        </w:pBdr>
        <w:spacing w:after="200" w:before="200"/>
      </w:pPr>
    </w:p>
    <w:p>
      <w:pPr>
        <w:pStyle w:val="Heading1"/>
        <w:spacing w:after="160" w:before="240"/>
      </w:pPr>
      <w:r>
        <w:t xml:space="preserve">Tool 3: The CRM and Systems Fit Checklist</w:t>
      </w:r>
    </w:p>
    <w:p>
      <w:pPr>
        <w:spacing w:after="160"/>
      </w:pPr>
      <w:r>
        <w:rPr>
          <w:b w:val="false"/>
          <w:bCs w:val="false"/>
          <w:i w:val="false"/>
          <w:iCs w:val="false"/>
        </w:rPr>
        <w:t xml:space="preserve">A customer or contact system is not optional past a certain size, but the wrong one costs more than none at all. Use this before you sign up for anything.</w:t>
      </w:r>
    </w:p>
    <w:p>
      <w:pPr>
        <w:pStyle w:val="Heading3"/>
        <w:spacing w:after="100" w:before="200"/>
      </w:pPr>
      <w:r>
        <w:t xml:space="preserve">What you actually need to track</w:t>
      </w:r>
    </w:p>
    <w:p>
      <w:pPr>
        <w:pStyle w:val="ListParagraph"/>
        <w:numPr>
          <w:ilvl w:val="0"/>
          <w:numId w:val="2"/>
        </w:numPr>
        <w:spacing w:after="80"/>
      </w:pPr>
      <w:r>
        <w:t xml:space="preserve">How each contact found you (this tells you where to spend your time and money)</w:t>
      </w:r>
    </w:p>
    <w:p>
      <w:pPr>
        <w:pStyle w:val="ListParagraph"/>
        <w:numPr>
          <w:ilvl w:val="0"/>
          <w:numId w:val="2"/>
        </w:numPr>
        <w:spacing w:after="80"/>
      </w:pPr>
      <w:r>
        <w:t xml:space="preserve">What they purchased or received, and when</w:t>
      </w:r>
    </w:p>
    <w:p>
      <w:pPr>
        <w:pStyle w:val="ListParagraph"/>
        <w:numPr>
          <w:ilvl w:val="0"/>
          <w:numId w:val="2"/>
        </w:numPr>
        <w:spacing w:after="80"/>
      </w:pPr>
      <w:r>
        <w:t xml:space="preserve">What they still owe you, or what you still owe them</w:t>
      </w:r>
    </w:p>
    <w:p>
      <w:pPr>
        <w:pStyle w:val="ListParagraph"/>
        <w:numPr>
          <w:ilvl w:val="0"/>
          <w:numId w:val="2"/>
        </w:numPr>
        <w:spacing w:after="80"/>
      </w:pPr>
      <w:r>
        <w:t xml:space="preserve">The next action, and when it's due</w:t>
      </w:r>
    </w:p>
    <w:p>
      <w:pPr>
        <w:pStyle w:val="Heading3"/>
        <w:spacing w:after="100" w:before="200"/>
      </w:pPr>
      <w:r>
        <w:t xml:space="preserve">Signs you're about to buy the wrong tool</w:t>
      </w:r>
    </w:p>
    <w:p>
      <w:pPr>
        <w:pStyle w:val="ListParagraph"/>
        <w:numPr>
          <w:ilvl w:val="0"/>
          <w:numId w:val="2"/>
        </w:numPr>
        <w:spacing w:after="80"/>
      </w:pPr>
      <w:r>
        <w:t xml:space="preserve">It requires a monthly fee before you've tested whether the workflow even works for you</w:t>
      </w:r>
    </w:p>
    <w:p>
      <w:pPr>
        <w:pStyle w:val="ListParagraph"/>
        <w:numPr>
          <w:ilvl w:val="0"/>
          <w:numId w:val="2"/>
        </w:numPr>
        <w:spacing w:after="80"/>
      </w:pPr>
      <w:r>
        <w:t xml:space="preserve">Your team will need training just to log a contact</w:t>
      </w:r>
    </w:p>
    <w:p>
      <w:pPr>
        <w:pStyle w:val="ListParagraph"/>
        <w:numPr>
          <w:ilvl w:val="0"/>
          <w:numId w:val="2"/>
        </w:numPr>
        <w:spacing w:after="80"/>
      </w:pPr>
      <w:r>
        <w:t xml:space="preserve">It can't export your data cleanly if you outgrow it</w:t>
      </w:r>
    </w:p>
    <w:p>
      <w:pPr>
        <w:pStyle w:val="ListParagraph"/>
        <w:numPr>
          <w:ilvl w:val="0"/>
          <w:numId w:val="2"/>
        </w:numPr>
        <w:spacing w:after="80"/>
      </w:pPr>
      <w:r>
        <w:t xml:space="preserve">You're buying it because a competitor uses it, not because you've mapped your own process</w:t>
      </w:r>
    </w:p>
    <w:p>
      <w:pPr>
        <w:spacing w:after="160"/>
      </w:pPr>
      <w:r>
        <w:rPr>
          <w:b w:val="false"/>
          <w:bCs w:val="false"/>
          <w:i w:val="false"/>
          <w:iCs w:val="false"/>
        </w:rPr>
        <w:t xml:space="preserve">If you're not sure yet, keep the physical list or the spreadsheet a little longer. Losing a notebook is a bad system. Paying monthly for a system nobody uses is worse.</w:t>
      </w:r>
    </w:p>
    <w:p>
      <w:pPr>
        <w:spacing w:after="60" w:before="160"/>
      </w:pPr>
      <w:r>
        <w:rPr>
          <w:b/>
          <w:bCs/>
          <w:color w:val="6A5ACD"/>
        </w:rPr>
        <w:t xml:space="preserve">Maps to: Dependency Analysis and Sustainable Operations</w:t>
      </w:r>
    </w:p>
    <w:p>
      <w:pPr>
        <w:pBdr>
          <w:bottom w:val="single" w:color="E8EAEF" w:sz="6" w:space="1"/>
        </w:pBdr>
        <w:spacing w:after="200" w:before="200"/>
      </w:pPr>
    </w:p>
    <w:p>
      <w:pPr>
        <w:pStyle w:val="Heading1"/>
        <w:spacing w:after="160" w:before="240"/>
      </w:pPr>
      <w:r>
        <w:t xml:space="preserve">Tool 4: The Map Your System Worksheet</w:t>
      </w:r>
    </w:p>
    <w:p>
      <w:pPr>
        <w:spacing w:after="160"/>
      </w:pPr>
      <w:r>
        <w:rPr>
          <w:b w:val="false"/>
          <w:bCs w:val="false"/>
          <w:i w:val="false"/>
          <w:iCs w:val="false"/>
        </w:rPr>
        <w:t xml:space="preserve">This is the exercise that ends the guessing. For every way you reach and serve people, fill in one row. Most people find their real bottleneck in the first ten minutes.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600"/>
        <w:gridCol w:w="1900"/>
        <w:gridCol w:w="1600"/>
        <w:gridCol w:w="1600"/>
        <w:gridCol w:w="1600"/>
        <w:gridCol w:w="1584"/>
      </w:tblGrid>
      <w:tr>
        <w:trPr>
          <w:tblHeader/>
        </w:trPr>
        <w:tc>
          <w:tcPr>
            <w:tcW w:type="dxa" w:w="1600"/>
            <w:shd w:fill="F3F0FF" w:val="clear"/>
            <w:tcMar>
              <w:top w:type="dxa" w:w="100"/>
              <w:left w:type="dxa" w:w="120"/>
              <w:bottom w:type="dxa" w:w="100"/>
              <w:right w:type="dxa" w:w="120"/>
            </w:tcMar>
          </w:tcPr>
          <w:p>
            <w:r>
              <w:rPr>
                <w:b/>
                <w:bCs/>
                <w:sz w:val="18"/>
                <w:szCs w:val="18"/>
              </w:rPr>
              <w:t xml:space="preserve">Tool / Channel</w:t>
            </w:r>
          </w:p>
        </w:tc>
        <w:tc>
          <w:tcPr>
            <w:tcW w:type="dxa" w:w="1900"/>
            <w:shd w:fill="F3F0FF" w:val="clear"/>
            <w:tcMar>
              <w:top w:type="dxa" w:w="100"/>
              <w:left w:type="dxa" w:w="120"/>
              <w:bottom w:type="dxa" w:w="100"/>
              <w:right w:type="dxa" w:w="120"/>
            </w:tcMar>
          </w:tcPr>
          <w:p>
            <w:r>
              <w:rPr>
                <w:b/>
                <w:bCs/>
                <w:sz w:val="18"/>
                <w:szCs w:val="18"/>
              </w:rPr>
              <w:t xml:space="preserve">Content Type</w:t>
            </w:r>
          </w:p>
        </w:tc>
        <w:tc>
          <w:tcPr>
            <w:tcW w:type="dxa" w:w="1600"/>
            <w:shd w:fill="F3F0FF" w:val="clear"/>
            <w:tcMar>
              <w:top w:type="dxa" w:w="100"/>
              <w:left w:type="dxa" w:w="120"/>
              <w:bottom w:type="dxa" w:w="100"/>
              <w:right w:type="dxa" w:w="120"/>
            </w:tcMar>
          </w:tcPr>
          <w:p>
            <w:r>
              <w:rPr>
                <w:b/>
                <w:bCs/>
                <w:sz w:val="18"/>
                <w:szCs w:val="18"/>
              </w:rPr>
              <w:t xml:space="preserve">Frequency</w:t>
            </w:r>
          </w:p>
        </w:tc>
        <w:tc>
          <w:tcPr>
            <w:tcW w:type="dxa" w:w="1600"/>
            <w:shd w:fill="F3F0FF" w:val="clear"/>
            <w:tcMar>
              <w:top w:type="dxa" w:w="100"/>
              <w:left w:type="dxa" w:w="120"/>
              <w:bottom w:type="dxa" w:w="100"/>
              <w:right w:type="dxa" w:w="120"/>
            </w:tcMar>
          </w:tcPr>
          <w:p>
            <w:r>
              <w:rPr>
                <w:b/>
                <w:bCs/>
                <w:sz w:val="18"/>
                <w:szCs w:val="18"/>
              </w:rPr>
              <w:t xml:space="preserve">Audience</w:t>
            </w:r>
          </w:p>
        </w:tc>
        <w:tc>
          <w:tcPr>
            <w:tcW w:type="dxa" w:w="1600"/>
            <w:shd w:fill="F3F0FF" w:val="clear"/>
            <w:tcMar>
              <w:top w:type="dxa" w:w="100"/>
              <w:left w:type="dxa" w:w="120"/>
              <w:bottom w:type="dxa" w:w="100"/>
              <w:right w:type="dxa" w:w="120"/>
            </w:tcMar>
          </w:tcPr>
          <w:p>
            <w:r>
              <w:rPr>
                <w:b/>
                <w:bCs/>
                <w:sz w:val="18"/>
                <w:szCs w:val="18"/>
              </w:rPr>
              <w:t xml:space="preserve">How They Pay</w:t>
            </w:r>
          </w:p>
        </w:tc>
        <w:tc>
          <w:tcPr>
            <w:tcW w:type="dxa" w:w="1584"/>
            <w:shd w:fill="F3F0FF" w:val="clear"/>
            <w:tcMar>
              <w:top w:type="dxa" w:w="100"/>
              <w:left w:type="dxa" w:w="120"/>
              <w:bottom w:type="dxa" w:w="100"/>
              <w:right w:type="dxa" w:w="120"/>
            </w:tcMar>
          </w:tcPr>
          <w:p>
            <w:r>
              <w:rPr>
                <w:b/>
                <w:bCs/>
                <w:sz w:val="18"/>
                <w:szCs w:val="18"/>
              </w:rPr>
              <w:t xml:space="preserve">Follow-Up</w:t>
            </w:r>
          </w:p>
        </w:tc>
      </w:tr>
      <w:tr>
        <w:tc>
          <w:tcPr>
            <w:tcW w:type="dxa" w:w="1600"/>
            <w:tcMar>
              <w:top w:type="dxa" w:w="100"/>
              <w:left w:type="dxa" w:w="120"/>
              <w:bottom w:type="dxa" w:w="100"/>
              <w:right w:type="dxa" w:w="120"/>
            </w:tcMar>
          </w:tcPr>
          <w:p>
            <w:r>
              <w:rPr>
                <w:b w:val="false"/>
                <w:bCs w:val="false"/>
                <w:sz w:val="18"/>
                <w:szCs w:val="18"/>
              </w:rPr>
              <w:t xml:space="preserve"/>
            </w:r>
          </w:p>
        </w:tc>
        <w:tc>
          <w:tcPr>
            <w:tcW w:type="dxa" w:w="19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584"/>
            <w:tcMar>
              <w:top w:type="dxa" w:w="100"/>
              <w:left w:type="dxa" w:w="120"/>
              <w:bottom w:type="dxa" w:w="100"/>
              <w:right w:type="dxa" w:w="120"/>
            </w:tcMar>
          </w:tcPr>
          <w:p>
            <w:r>
              <w:rPr>
                <w:b w:val="false"/>
                <w:bCs w:val="false"/>
                <w:sz w:val="18"/>
                <w:szCs w:val="18"/>
              </w:rPr>
              <w:t xml:space="preserve"/>
            </w:r>
          </w:p>
        </w:tc>
      </w:tr>
      <w:tr>
        <w:tc>
          <w:tcPr>
            <w:tcW w:type="dxa" w:w="1600"/>
            <w:tcMar>
              <w:top w:type="dxa" w:w="100"/>
              <w:left w:type="dxa" w:w="120"/>
              <w:bottom w:type="dxa" w:w="100"/>
              <w:right w:type="dxa" w:w="120"/>
            </w:tcMar>
          </w:tcPr>
          <w:p>
            <w:r>
              <w:rPr>
                <w:b w:val="false"/>
                <w:bCs w:val="false"/>
                <w:sz w:val="18"/>
                <w:szCs w:val="18"/>
              </w:rPr>
              <w:t xml:space="preserve"/>
            </w:r>
          </w:p>
        </w:tc>
        <w:tc>
          <w:tcPr>
            <w:tcW w:type="dxa" w:w="19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584"/>
            <w:tcMar>
              <w:top w:type="dxa" w:w="100"/>
              <w:left w:type="dxa" w:w="120"/>
              <w:bottom w:type="dxa" w:w="100"/>
              <w:right w:type="dxa" w:w="120"/>
            </w:tcMar>
          </w:tcPr>
          <w:p>
            <w:r>
              <w:rPr>
                <w:b w:val="false"/>
                <w:bCs w:val="false"/>
                <w:sz w:val="18"/>
                <w:szCs w:val="18"/>
              </w:rPr>
              <w:t xml:space="preserve"/>
            </w:r>
          </w:p>
        </w:tc>
      </w:tr>
      <w:tr>
        <w:tc>
          <w:tcPr>
            <w:tcW w:type="dxa" w:w="1600"/>
            <w:tcMar>
              <w:top w:type="dxa" w:w="100"/>
              <w:left w:type="dxa" w:w="120"/>
              <w:bottom w:type="dxa" w:w="100"/>
              <w:right w:type="dxa" w:w="120"/>
            </w:tcMar>
          </w:tcPr>
          <w:p>
            <w:r>
              <w:rPr>
                <w:b w:val="false"/>
                <w:bCs w:val="false"/>
                <w:sz w:val="18"/>
                <w:szCs w:val="18"/>
              </w:rPr>
              <w:t xml:space="preserve"/>
            </w:r>
          </w:p>
        </w:tc>
        <w:tc>
          <w:tcPr>
            <w:tcW w:type="dxa" w:w="19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584"/>
            <w:tcMar>
              <w:top w:type="dxa" w:w="100"/>
              <w:left w:type="dxa" w:w="120"/>
              <w:bottom w:type="dxa" w:w="100"/>
              <w:right w:type="dxa" w:w="120"/>
            </w:tcMar>
          </w:tcPr>
          <w:p>
            <w:r>
              <w:rPr>
                <w:b w:val="false"/>
                <w:bCs w:val="false"/>
                <w:sz w:val="18"/>
                <w:szCs w:val="18"/>
              </w:rPr>
              <w:t xml:space="preserve"/>
            </w:r>
          </w:p>
        </w:tc>
      </w:tr>
      <w:tr>
        <w:tc>
          <w:tcPr>
            <w:tcW w:type="dxa" w:w="1600"/>
            <w:tcMar>
              <w:top w:type="dxa" w:w="100"/>
              <w:left w:type="dxa" w:w="120"/>
              <w:bottom w:type="dxa" w:w="100"/>
              <w:right w:type="dxa" w:w="120"/>
            </w:tcMar>
          </w:tcPr>
          <w:p>
            <w:r>
              <w:rPr>
                <w:b w:val="false"/>
                <w:bCs w:val="false"/>
                <w:sz w:val="18"/>
                <w:szCs w:val="18"/>
              </w:rPr>
              <w:t xml:space="preserve"/>
            </w:r>
          </w:p>
        </w:tc>
        <w:tc>
          <w:tcPr>
            <w:tcW w:type="dxa" w:w="19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584"/>
            <w:tcMar>
              <w:top w:type="dxa" w:w="100"/>
              <w:left w:type="dxa" w:w="120"/>
              <w:bottom w:type="dxa" w:w="100"/>
              <w:right w:type="dxa" w:w="120"/>
            </w:tcMar>
          </w:tcPr>
          <w:p>
            <w:r>
              <w:rPr>
                <w:b w:val="false"/>
                <w:bCs w:val="false"/>
                <w:sz w:val="18"/>
                <w:szCs w:val="18"/>
              </w:rPr>
              <w:t xml:space="preserve"/>
            </w:r>
          </w:p>
        </w:tc>
      </w:tr>
      <w:tr>
        <w:tc>
          <w:tcPr>
            <w:tcW w:type="dxa" w:w="1600"/>
            <w:tcMar>
              <w:top w:type="dxa" w:w="100"/>
              <w:left w:type="dxa" w:w="120"/>
              <w:bottom w:type="dxa" w:w="100"/>
              <w:right w:type="dxa" w:w="120"/>
            </w:tcMar>
          </w:tcPr>
          <w:p>
            <w:r>
              <w:rPr>
                <w:b w:val="false"/>
                <w:bCs w:val="false"/>
                <w:sz w:val="18"/>
                <w:szCs w:val="18"/>
              </w:rPr>
              <w:t xml:space="preserve"/>
            </w:r>
          </w:p>
        </w:tc>
        <w:tc>
          <w:tcPr>
            <w:tcW w:type="dxa" w:w="19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600"/>
            <w:tcMar>
              <w:top w:type="dxa" w:w="100"/>
              <w:left w:type="dxa" w:w="120"/>
              <w:bottom w:type="dxa" w:w="100"/>
              <w:right w:type="dxa" w:w="120"/>
            </w:tcMar>
          </w:tcPr>
          <w:p>
            <w:r>
              <w:rPr>
                <w:b w:val="false"/>
                <w:bCs w:val="false"/>
                <w:sz w:val="18"/>
                <w:szCs w:val="18"/>
              </w:rPr>
              <w:t xml:space="preserve"/>
            </w:r>
          </w:p>
        </w:tc>
        <w:tc>
          <w:tcPr>
            <w:tcW w:type="dxa" w:w="1584"/>
            <w:tcMar>
              <w:top w:type="dxa" w:w="100"/>
              <w:left w:type="dxa" w:w="120"/>
              <w:bottom w:type="dxa" w:w="100"/>
              <w:right w:type="dxa" w:w="120"/>
            </w:tcMar>
          </w:tcPr>
          <w:p>
            <w:r>
              <w:rPr>
                <w:b w:val="false"/>
                <w:bCs w:val="false"/>
                <w:sz w:val="18"/>
                <w:szCs w:val="18"/>
              </w:rPr>
              <w:t xml:space="preserve"/>
            </w:r>
          </w:p>
        </w:tc>
      </w:tr>
    </w:tbl>
    <w:p>
      <w:pPr>
        <w:spacing w:before="200"/>
      </w:pPr>
    </w:p>
    <w:p>
      <w:pPr>
        <w:pStyle w:val="Heading3"/>
        <w:spacing w:after="100" w:before="200"/>
      </w:pPr>
      <w:r>
        <w:t xml:space="preserve">How to read what you filled in</w:t>
      </w:r>
    </w:p>
    <w:p>
      <w:pPr>
        <w:pStyle w:val="ListParagraph"/>
        <w:numPr>
          <w:ilvl w:val="0"/>
          <w:numId w:val="2"/>
        </w:numPr>
        <w:spacing w:after="80"/>
      </w:pPr>
      <w:r>
        <w:t xml:space="preserve">A row with no Follow-Up is a relationship that ends the moment the first contact does.</w:t>
      </w:r>
    </w:p>
    <w:p>
      <w:pPr>
        <w:pStyle w:val="ListParagraph"/>
        <w:numPr>
          <w:ilvl w:val="0"/>
          <w:numId w:val="2"/>
        </w:numPr>
        <w:spacing w:after="80"/>
      </w:pPr>
      <w:r>
        <w:t xml:space="preserve">A row with a Frequency you can't actually sustain is the reason something 'fell through the cracks' last quarter.</w:t>
      </w:r>
    </w:p>
    <w:p>
      <w:pPr>
        <w:pStyle w:val="ListParagraph"/>
        <w:numPr>
          <w:ilvl w:val="0"/>
          <w:numId w:val="2"/>
        </w:numPr>
        <w:spacing w:after="80"/>
      </w:pPr>
      <w:r>
        <w:t xml:space="preserve">A row where you can't answer How They Pay in one sentence is a process that isn't finished yet, whatever it looks like on paper.</w:t>
      </w:r>
    </w:p>
    <w:p>
      <w:pPr>
        <w:spacing w:after="60" w:before="160"/>
      </w:pPr>
      <w:r>
        <w:rPr>
          <w:b/>
          <w:bCs/>
          <w:color w:val="6A5ACD"/>
        </w:rPr>
        <w:t xml:space="preserve">Maps to: Workflow Design and Implementation Pathways</w:t>
      </w:r>
    </w:p>
    <w:p>
      <w:pPr>
        <w:pBdr>
          <w:bottom w:val="single" w:color="E8EAEF" w:sz="6" w:space="1"/>
        </w:pBdr>
        <w:spacing w:after="200" w:before="200"/>
      </w:pPr>
    </w:p>
    <w:p>
      <w:pPr>
        <w:pStyle w:val="Heading2"/>
        <w:spacing w:after="120" w:before="280"/>
      </w:pPr>
      <w:r>
        <w:t xml:space="preserve">What to do with this</w:t>
      </w:r>
    </w:p>
    <w:p>
      <w:pPr>
        <w:spacing w:after="160"/>
      </w:pPr>
      <w:r>
        <w:rPr>
          <w:b w:val="false"/>
          <w:bCs w:val="false"/>
          <w:i w:val="false"/>
          <w:iCs w:val="false"/>
        </w:rPr>
        <w:t xml:space="preserve">These four tools are the starting layer of the Sources Architecture Method™. They tell you what's actually happening before you design the fix. If what you find raises more questions than it answers, that's the normal outcome. It means you're mapping a real system instead of an assumed one.</w:t>
      </w:r>
    </w:p>
    <w:p>
      <w:pPr>
        <w:spacing w:after="160"/>
      </w:pPr>
      <w:r>
        <w:rPr>
          <w:b w:val="false"/>
          <w:bCs w:val="false"/>
          <w:i w:val="false"/>
          <w:iCs w:val="false"/>
        </w:rPr>
        <w:t xml:space="preserve">If you want help running these tools inside your own organization, or want the full six-module method applied to a specific program or system, reach out through sourcesmayvary.com/contact.</w:t>
      </w:r>
    </w:p>
    <w:p>
      <w:pPr>
        <w:spacing w:before="400"/>
      </w:pPr>
      <w:r>
        <w:rPr>
          <w:i/>
          <w:iCs/>
          <w:color w:val="7C7E8E"/>
          <w:sz w:val="18"/>
          <w:szCs w:val="18"/>
        </w:rPr>
        <w:t xml:space="preserve">© 2026 Sources May Vary. This toolkit is free to use and share; please keep this attribution intact.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60" w:before="240"/>
    </w:pPr>
    <w:rPr>
      <w:b/>
      <w:bCs/>
      <w:color w:val="1A1A2E"/>
      <w:sz w:val="34"/>
      <w:szCs w:val="34"/>
    </w:rPr>
  </w:style>
  <w:style w:type="paragraph" w:styleId="Heading2">
    <w:name w:val="Heading 2"/>
    <w:basedOn w:val="Normal"/>
    <w:next w:val="Normal"/>
    <w:pPr>
      <w:spacing w:after="120" w:before="280"/>
    </w:pPr>
    <w:rPr>
      <w:b/>
      <w:bCs/>
      <w:color w:val="6A5ACD"/>
      <w:sz w:val="26"/>
      <w:szCs w:val="26"/>
    </w:rPr>
  </w:style>
  <w:style w:type="paragraph" w:styleId="Heading3">
    <w:name w:val="Heading 3"/>
    <w:basedOn w:val="Normal"/>
    <w:next w:val="Normal"/>
    <w:pPr>
      <w:spacing w:after="100" w:before="200"/>
    </w:pPr>
    <w:rPr>
      <w:b/>
      <w:bCs/>
      <w:color w:val="1A1A2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2026-09-02T03:49:59.950Z</dcterms:created>
  <dcterms:modified xsi:type="dcterms:W3CDTF">2026-09-02T03:49:59.962Z</dcterms:modified>
</cp:coreProperties>
</file>

<file path=docProps/custom.xml><?xml version="1.0" encoding="utf-8"?>
<Properties xmlns="http://schemas.openxmlformats.org/officeDocument/2006/custom-properties" xmlns:vt="http://schemas.openxmlformats.org/officeDocument/2006/docPropsVTypes"/>
</file>